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2FD" w:rsidRPr="00C3593D" w:rsidRDefault="009812FD" w:rsidP="009812FD">
      <w:pPr>
        <w:rPr>
          <w:b/>
        </w:rPr>
      </w:pPr>
      <w:bookmarkStart w:id="0" w:name="_GoBack"/>
      <w:bookmarkEnd w:id="0"/>
      <w:r>
        <w:rPr>
          <w:b/>
          <w:noProof/>
          <w:sz w:val="36"/>
        </w:rPr>
        <w:drawing>
          <wp:anchor distT="0" distB="0" distL="114300" distR="114300" simplePos="0" relativeHeight="251661312" behindDoc="0" locked="0" layoutInCell="1" allowOverlap="1">
            <wp:simplePos x="0" y="0"/>
            <wp:positionH relativeFrom="column">
              <wp:posOffset>2583815</wp:posOffset>
            </wp:positionH>
            <wp:positionV relativeFrom="paragraph">
              <wp:posOffset>39370</wp:posOffset>
            </wp:positionV>
            <wp:extent cx="716280" cy="859790"/>
            <wp:effectExtent l="19050" t="0" r="7620" b="0"/>
            <wp:wrapNone/>
            <wp:docPr id="3" name="Рисунок 3" descr="Gerb1a1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1a1_10%"/>
                    <pic:cNvPicPr>
                      <a:picLocks noChangeAspect="1" noChangeArrowheads="1"/>
                    </pic:cNvPicPr>
                  </pic:nvPicPr>
                  <pic:blipFill>
                    <a:blip r:embed="rId8" cstate="print"/>
                    <a:srcRect/>
                    <a:stretch>
                      <a:fillRect/>
                    </a:stretch>
                  </pic:blipFill>
                  <pic:spPr bwMode="auto">
                    <a:xfrm>
                      <a:off x="0" y="0"/>
                      <a:ext cx="716280" cy="859790"/>
                    </a:xfrm>
                    <a:prstGeom prst="rect">
                      <a:avLst/>
                    </a:prstGeom>
                    <a:noFill/>
                    <a:ln w="9525">
                      <a:noFill/>
                      <a:miter lim="800000"/>
                      <a:headEnd/>
                      <a:tailEnd/>
                    </a:ln>
                  </pic:spPr>
                </pic:pic>
              </a:graphicData>
            </a:graphic>
          </wp:anchor>
        </w:drawing>
      </w:r>
    </w:p>
    <w:p w:rsidR="009812FD" w:rsidRDefault="009812FD" w:rsidP="009812FD">
      <w:pPr>
        <w:pStyle w:val="1"/>
        <w:jc w:val="center"/>
        <w:rPr>
          <w:sz w:val="36"/>
        </w:rPr>
      </w:pPr>
    </w:p>
    <w:p w:rsidR="009812FD" w:rsidRPr="00872F7B" w:rsidRDefault="009812FD" w:rsidP="009812FD">
      <w:pPr>
        <w:pStyle w:val="1"/>
        <w:jc w:val="center"/>
        <w:rPr>
          <w:sz w:val="36"/>
        </w:rPr>
      </w:pPr>
    </w:p>
    <w:p w:rsidR="009812FD" w:rsidRDefault="009812FD" w:rsidP="009812FD">
      <w:pPr>
        <w:pStyle w:val="1"/>
        <w:jc w:val="center"/>
        <w:rPr>
          <w:sz w:val="36"/>
        </w:rPr>
      </w:pPr>
    </w:p>
    <w:p w:rsidR="009812FD" w:rsidRDefault="009812FD" w:rsidP="009812FD">
      <w:pPr>
        <w:pStyle w:val="1"/>
        <w:jc w:val="center"/>
        <w:rPr>
          <w:sz w:val="36"/>
        </w:rPr>
      </w:pPr>
      <w:r>
        <w:rPr>
          <w:sz w:val="36"/>
        </w:rPr>
        <w:t xml:space="preserve">ГОСУДАРСТВЕННЫЙ КОМИТЕТ </w:t>
      </w:r>
    </w:p>
    <w:p w:rsidR="009812FD" w:rsidRDefault="009812FD" w:rsidP="009812FD">
      <w:pPr>
        <w:pStyle w:val="1"/>
        <w:jc w:val="center"/>
        <w:rPr>
          <w:sz w:val="32"/>
        </w:rPr>
      </w:pPr>
      <w:r>
        <w:rPr>
          <w:sz w:val="32"/>
        </w:rPr>
        <w:t>«ЕДИНЫЙ ТАРИФНЫЙ ОРГАН ЧЕЛЯБИНСКОЙ ОБЛАСТИ»</w:t>
      </w:r>
    </w:p>
    <w:p w:rsidR="009812FD" w:rsidRPr="00F278CA" w:rsidRDefault="00DA524F" w:rsidP="009812FD">
      <w:pPr>
        <w:rPr>
          <w:sz w:val="24"/>
        </w:rPr>
      </w:pPr>
      <w:r>
        <w:rPr>
          <w:noProof/>
          <w:sz w:val="18"/>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0</wp:posOffset>
                </wp:positionV>
                <wp:extent cx="6035040" cy="0"/>
                <wp:effectExtent l="13970" t="9525" r="1841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0" to="47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XI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Sp2mag2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" o:allowincell="f" strokeweight="1.5pt"/>
            </w:pict>
          </mc:Fallback>
        </mc:AlternateContent>
      </w:r>
      <w:r w:rsidR="009812FD">
        <w:rPr>
          <w:sz w:val="24"/>
        </w:rPr>
        <w:tab/>
      </w:r>
      <w:r w:rsidR="009812FD">
        <w:rPr>
          <w:sz w:val="24"/>
        </w:rPr>
        <w:tab/>
      </w:r>
      <w:r w:rsidR="009812FD" w:rsidRPr="00F278CA">
        <w:rPr>
          <w:sz w:val="24"/>
        </w:rPr>
        <w:tab/>
      </w:r>
      <w:r w:rsidR="009812FD" w:rsidRPr="00F278CA">
        <w:rPr>
          <w:sz w:val="24"/>
        </w:rPr>
        <w:tab/>
      </w:r>
    </w:p>
    <w:p w:rsidR="009812FD" w:rsidRPr="00F54EEF" w:rsidRDefault="009812FD" w:rsidP="009812FD">
      <w:pPr>
        <w:pStyle w:val="1"/>
        <w:jc w:val="center"/>
        <w:rPr>
          <w:sz w:val="28"/>
          <w:szCs w:val="28"/>
        </w:rPr>
      </w:pPr>
      <w:r w:rsidRPr="00F54EEF">
        <w:rPr>
          <w:sz w:val="28"/>
          <w:szCs w:val="28"/>
        </w:rPr>
        <w:t>П О С Т А Н О В Л Е Н И Е</w:t>
      </w:r>
    </w:p>
    <w:p w:rsidR="009812FD" w:rsidRPr="00FB5A1A" w:rsidRDefault="009812FD" w:rsidP="009812FD">
      <w:pPr>
        <w:pStyle w:val="a3"/>
        <w:tabs>
          <w:tab w:val="clear" w:pos="4536"/>
          <w:tab w:val="clear" w:pos="9072"/>
          <w:tab w:val="left" w:pos="567"/>
          <w:tab w:val="left" w:pos="7371"/>
        </w:tabs>
        <w:rPr>
          <w:sz w:val="24"/>
          <w:szCs w:val="24"/>
        </w:rPr>
      </w:pPr>
      <w:r w:rsidRPr="00FB5A1A">
        <w:rPr>
          <w:sz w:val="24"/>
          <w:szCs w:val="24"/>
        </w:rPr>
        <w:t>от 19 декабря 2013 года</w:t>
      </w:r>
      <w:r w:rsidRPr="00FB5A1A">
        <w:rPr>
          <w:sz w:val="24"/>
          <w:szCs w:val="24"/>
        </w:rPr>
        <w:tab/>
        <w:t xml:space="preserve">                  </w:t>
      </w:r>
      <w:r w:rsidRPr="00FB5A1A">
        <w:rPr>
          <w:sz w:val="24"/>
          <w:szCs w:val="24"/>
        </w:rPr>
        <w:tab/>
        <w:t xml:space="preserve"> </w:t>
      </w:r>
      <w:r w:rsidR="00D35CD5">
        <w:rPr>
          <w:sz w:val="24"/>
          <w:szCs w:val="24"/>
        </w:rPr>
        <w:t>№ 58/</w:t>
      </w:r>
      <w:r w:rsidR="00F64D93">
        <w:rPr>
          <w:sz w:val="24"/>
          <w:szCs w:val="24"/>
        </w:rPr>
        <w:t>7</w:t>
      </w:r>
    </w:p>
    <w:p w:rsidR="009812FD" w:rsidRPr="00FB5A1A" w:rsidRDefault="009812FD" w:rsidP="009812FD">
      <w:pPr>
        <w:tabs>
          <w:tab w:val="left" w:pos="7371"/>
        </w:tabs>
        <w:jc w:val="center"/>
        <w:rPr>
          <w:sz w:val="24"/>
          <w:szCs w:val="24"/>
        </w:rPr>
      </w:pPr>
      <w:r w:rsidRPr="00FB5A1A">
        <w:rPr>
          <w:sz w:val="24"/>
          <w:szCs w:val="24"/>
        </w:rPr>
        <w:t>город Челябинск</w:t>
      </w:r>
    </w:p>
    <w:p w:rsidR="009812FD" w:rsidRPr="00FB5A1A" w:rsidRDefault="009812FD" w:rsidP="009812FD">
      <w:pPr>
        <w:pStyle w:val="a3"/>
        <w:tabs>
          <w:tab w:val="clear" w:pos="4536"/>
          <w:tab w:val="clear" w:pos="9072"/>
          <w:tab w:val="left" w:pos="7371"/>
        </w:tabs>
        <w:rPr>
          <w:sz w:val="24"/>
          <w:szCs w:val="24"/>
        </w:rPr>
      </w:pPr>
    </w:p>
    <w:p w:rsidR="009812FD" w:rsidRPr="00FB5A1A" w:rsidRDefault="009812FD" w:rsidP="009812FD">
      <w:pPr>
        <w:pStyle w:val="a3"/>
        <w:tabs>
          <w:tab w:val="clear" w:pos="4536"/>
          <w:tab w:val="clear" w:pos="9072"/>
          <w:tab w:val="left" w:pos="7371"/>
        </w:tabs>
        <w:jc w:val="center"/>
        <w:rPr>
          <w:b/>
          <w:sz w:val="24"/>
          <w:szCs w:val="24"/>
        </w:rPr>
      </w:pPr>
      <w:r w:rsidRPr="00FB5A1A">
        <w:rPr>
          <w:b/>
          <w:sz w:val="24"/>
          <w:szCs w:val="24"/>
        </w:rPr>
        <w:t>Об установлении цен (та</w:t>
      </w:r>
      <w:r w:rsidR="00035EA7">
        <w:rPr>
          <w:b/>
          <w:sz w:val="24"/>
          <w:szCs w:val="24"/>
        </w:rPr>
        <w:t>рифов) на электрическую энергию</w:t>
      </w:r>
      <w:r w:rsidRPr="00FB5A1A">
        <w:rPr>
          <w:b/>
          <w:sz w:val="24"/>
          <w:szCs w:val="24"/>
        </w:rPr>
        <w:t xml:space="preserve"> </w:t>
      </w:r>
      <w:r w:rsidRPr="00FB5A1A">
        <w:rPr>
          <w:b/>
          <w:sz w:val="24"/>
          <w:szCs w:val="24"/>
        </w:rPr>
        <w:br/>
        <w:t xml:space="preserve">для населения и приравненным к </w:t>
      </w:r>
      <w:r w:rsidR="00D84589">
        <w:rPr>
          <w:b/>
          <w:sz w:val="24"/>
          <w:szCs w:val="24"/>
        </w:rPr>
        <w:t xml:space="preserve">нему категориям </w:t>
      </w:r>
      <w:r w:rsidR="00D84589">
        <w:rPr>
          <w:b/>
          <w:sz w:val="24"/>
          <w:szCs w:val="24"/>
        </w:rPr>
        <w:br/>
        <w:t>потребителей на территории</w:t>
      </w:r>
      <w:r w:rsidRPr="00FB5A1A">
        <w:rPr>
          <w:b/>
          <w:sz w:val="24"/>
          <w:szCs w:val="24"/>
        </w:rPr>
        <w:t xml:space="preserve"> Челябинской области</w:t>
      </w:r>
    </w:p>
    <w:p w:rsidR="009812FD" w:rsidRPr="00FB5A1A" w:rsidRDefault="009812FD" w:rsidP="009812FD">
      <w:pPr>
        <w:pStyle w:val="a3"/>
        <w:tabs>
          <w:tab w:val="clear" w:pos="4536"/>
          <w:tab w:val="clear" w:pos="9072"/>
          <w:tab w:val="left" w:pos="567"/>
          <w:tab w:val="left" w:pos="7371"/>
        </w:tabs>
        <w:jc w:val="center"/>
        <w:rPr>
          <w:b/>
          <w:sz w:val="24"/>
          <w:szCs w:val="24"/>
        </w:rPr>
      </w:pPr>
    </w:p>
    <w:p w:rsidR="009812FD" w:rsidRPr="00FB5A1A" w:rsidRDefault="009812FD" w:rsidP="00D84589">
      <w:pPr>
        <w:pStyle w:val="a3"/>
        <w:tabs>
          <w:tab w:val="clear" w:pos="4536"/>
          <w:tab w:val="clear" w:pos="9072"/>
          <w:tab w:val="left" w:pos="567"/>
          <w:tab w:val="left" w:pos="7371"/>
        </w:tabs>
        <w:spacing w:line="228" w:lineRule="auto"/>
        <w:ind w:firstLine="567"/>
        <w:jc w:val="both"/>
        <w:rPr>
          <w:sz w:val="24"/>
          <w:szCs w:val="24"/>
        </w:rPr>
      </w:pPr>
      <w:r w:rsidRPr="00FB5A1A">
        <w:rPr>
          <w:sz w:val="24"/>
          <w:szCs w:val="24"/>
        </w:rPr>
        <w:t xml:space="preserve">В соответствии с Федеральным законом Российской Федерации </w:t>
      </w:r>
      <w:r w:rsidRPr="00FB5A1A">
        <w:rPr>
          <w:sz w:val="24"/>
          <w:szCs w:val="24"/>
        </w:rPr>
        <w:br/>
        <w:t>«Об эл</w:t>
      </w:r>
      <w:r w:rsidR="00D84589">
        <w:rPr>
          <w:sz w:val="24"/>
          <w:szCs w:val="24"/>
        </w:rPr>
        <w:t>ектроэнергетике», постановлениями</w:t>
      </w:r>
      <w:r w:rsidRPr="00FB5A1A">
        <w:rPr>
          <w:sz w:val="24"/>
          <w:szCs w:val="24"/>
        </w:rPr>
        <w:t xml:space="preserve"> Правительства Российской Федерации </w:t>
      </w:r>
      <w:r>
        <w:rPr>
          <w:sz w:val="24"/>
          <w:szCs w:val="24"/>
        </w:rPr>
        <w:br/>
      </w:r>
      <w:r w:rsidRPr="00FB5A1A">
        <w:rPr>
          <w:sz w:val="24"/>
          <w:szCs w:val="24"/>
        </w:rPr>
        <w:t xml:space="preserve">от 29 декабря 2011 года № 1178 «О ценообразовании в области регулируемых цен (тарифов) в электроэнергетике», </w:t>
      </w:r>
      <w:r w:rsidR="00D84589">
        <w:rPr>
          <w:sz w:val="24"/>
          <w:szCs w:val="24"/>
        </w:rPr>
        <w:t xml:space="preserve">от 22 июля 2013 года № 614 «О порядке установления и применения социальной нормы потребления электрической энергии (мощности)», </w:t>
      </w:r>
      <w:r w:rsidRPr="00FB5A1A">
        <w:rPr>
          <w:sz w:val="24"/>
          <w:szCs w:val="24"/>
        </w:rPr>
        <w:t xml:space="preserve">приказами Федеральной службы по тарифам от 6 августа 2004 года № 20-э/2 «Об утверждении Методических указаний по расчету регулируемых тарифов и цен на электрическую (тепловую) энергию на розничном (потребительском) рынке», от 11 октября 2013 года </w:t>
      </w:r>
      <w:r w:rsidR="00D84589">
        <w:rPr>
          <w:sz w:val="24"/>
          <w:szCs w:val="24"/>
        </w:rPr>
        <w:br/>
      </w:r>
      <w:r w:rsidRPr="00FB5A1A">
        <w:rPr>
          <w:sz w:val="24"/>
          <w:szCs w:val="24"/>
        </w:rPr>
        <w:t xml:space="preserve">№ 185-э/1 «О предельных уровнях тарифов на электрическую энергию (мощность) </w:t>
      </w:r>
      <w:r w:rsidR="00D84589">
        <w:rPr>
          <w:sz w:val="24"/>
          <w:szCs w:val="24"/>
        </w:rPr>
        <w:br/>
      </w:r>
      <w:r w:rsidRPr="00FB5A1A">
        <w:rPr>
          <w:sz w:val="24"/>
          <w:szCs w:val="24"/>
        </w:rPr>
        <w:t xml:space="preserve">на 2014 год», </w:t>
      </w:r>
      <w:r w:rsidR="00D84589">
        <w:rPr>
          <w:sz w:val="24"/>
          <w:szCs w:val="24"/>
        </w:rPr>
        <w:t>от 28 марта 2013 года № 313-э «Об утверждении Регламента установления цен (тарифов) и (или) их предельных уровней</w:t>
      </w:r>
      <w:r w:rsidR="00D84589">
        <w:rPr>
          <w:rFonts w:eastAsiaTheme="minorHAnsi"/>
          <w:sz w:val="24"/>
          <w:szCs w:val="24"/>
          <w:lang w:eastAsia="en-US"/>
        </w:rPr>
        <w:t>,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w:t>
      </w:r>
      <w:r w:rsidR="00D84589">
        <w:rPr>
          <w:sz w:val="24"/>
          <w:szCs w:val="24"/>
        </w:rPr>
        <w:t xml:space="preserve">», </w:t>
      </w:r>
      <w:r w:rsidRPr="00FB5A1A">
        <w:rPr>
          <w:sz w:val="24"/>
          <w:szCs w:val="24"/>
        </w:rPr>
        <w:t xml:space="preserve">постановлением Губернатора Челябинской области от 1 сентября 2004 года № 477 «Об утверждении Положения, структуры и штатной численности Государственного комитета «Единый тарифный орган Челябинской области» и на основании протокола заседания Правления Государственного комитета «Единый тарифный орган Челябинской области» от 19 декабря 2013 года № </w:t>
      </w:r>
      <w:r w:rsidR="00754E94">
        <w:rPr>
          <w:sz w:val="24"/>
          <w:szCs w:val="24"/>
        </w:rPr>
        <w:t>58</w:t>
      </w:r>
      <w:r w:rsidRPr="00FB5A1A">
        <w:rPr>
          <w:sz w:val="24"/>
          <w:szCs w:val="24"/>
        </w:rPr>
        <w:t xml:space="preserve"> Государственный комитет «Единый тарифный орган Челябинской области»</w:t>
      </w:r>
    </w:p>
    <w:p w:rsidR="009812FD" w:rsidRDefault="009812FD" w:rsidP="009812FD">
      <w:pPr>
        <w:pStyle w:val="a3"/>
        <w:tabs>
          <w:tab w:val="clear" w:pos="4536"/>
          <w:tab w:val="clear" w:pos="9072"/>
          <w:tab w:val="left" w:pos="851"/>
          <w:tab w:val="left" w:pos="7371"/>
        </w:tabs>
        <w:jc w:val="center"/>
        <w:rPr>
          <w:sz w:val="24"/>
          <w:szCs w:val="24"/>
        </w:rPr>
      </w:pPr>
      <w:r w:rsidRPr="00FB5A1A">
        <w:rPr>
          <w:b/>
          <w:sz w:val="24"/>
          <w:szCs w:val="24"/>
        </w:rPr>
        <w:t>п о с т а н о в л я е т</w:t>
      </w:r>
      <w:r w:rsidRPr="00FB5A1A">
        <w:rPr>
          <w:sz w:val="24"/>
          <w:szCs w:val="24"/>
        </w:rPr>
        <w:t>:</w:t>
      </w:r>
    </w:p>
    <w:p w:rsidR="009812FD" w:rsidRPr="00FB5A1A" w:rsidRDefault="009812FD" w:rsidP="00D84589">
      <w:pPr>
        <w:pStyle w:val="a3"/>
        <w:numPr>
          <w:ilvl w:val="0"/>
          <w:numId w:val="1"/>
        </w:numPr>
        <w:tabs>
          <w:tab w:val="clear" w:pos="4536"/>
          <w:tab w:val="clear" w:pos="9072"/>
          <w:tab w:val="left" w:pos="567"/>
          <w:tab w:val="left" w:pos="851"/>
          <w:tab w:val="left" w:pos="1134"/>
          <w:tab w:val="left" w:pos="1418"/>
        </w:tabs>
        <w:spacing w:line="228" w:lineRule="auto"/>
        <w:ind w:left="0" w:firstLine="567"/>
        <w:jc w:val="both"/>
        <w:rPr>
          <w:sz w:val="24"/>
          <w:szCs w:val="24"/>
        </w:rPr>
      </w:pPr>
      <w:r w:rsidRPr="00FB5A1A">
        <w:rPr>
          <w:sz w:val="24"/>
          <w:szCs w:val="24"/>
        </w:rPr>
        <w:t xml:space="preserve">Установить тарифы на электрическую энергию для населения и приравненным </w:t>
      </w:r>
      <w:r>
        <w:rPr>
          <w:sz w:val="24"/>
          <w:szCs w:val="24"/>
        </w:rPr>
        <w:br/>
      </w:r>
      <w:r w:rsidRPr="00FB5A1A">
        <w:rPr>
          <w:sz w:val="24"/>
          <w:szCs w:val="24"/>
        </w:rPr>
        <w:t xml:space="preserve">к нему категориям потребителей по Челябинской области, </w:t>
      </w:r>
      <w:r w:rsidR="0004002E">
        <w:rPr>
          <w:sz w:val="24"/>
          <w:szCs w:val="24"/>
        </w:rPr>
        <w:t>согласно приложениям 1,2</w:t>
      </w:r>
      <w:r w:rsidRPr="00FB5A1A">
        <w:rPr>
          <w:sz w:val="24"/>
          <w:szCs w:val="24"/>
        </w:rPr>
        <w:t>.</w:t>
      </w:r>
    </w:p>
    <w:p w:rsidR="009812FD" w:rsidRPr="00FB5A1A" w:rsidRDefault="009812FD" w:rsidP="00D84589">
      <w:pPr>
        <w:pStyle w:val="a3"/>
        <w:tabs>
          <w:tab w:val="clear" w:pos="4536"/>
          <w:tab w:val="clear" w:pos="9072"/>
          <w:tab w:val="left" w:pos="0"/>
          <w:tab w:val="left" w:pos="567"/>
          <w:tab w:val="left" w:pos="851"/>
        </w:tabs>
        <w:spacing w:line="228" w:lineRule="auto"/>
        <w:ind w:firstLine="567"/>
        <w:jc w:val="both"/>
        <w:rPr>
          <w:sz w:val="24"/>
          <w:szCs w:val="24"/>
        </w:rPr>
      </w:pPr>
      <w:r w:rsidRPr="00FB5A1A">
        <w:rPr>
          <w:sz w:val="24"/>
          <w:szCs w:val="24"/>
        </w:rPr>
        <w:t xml:space="preserve">2. Тарифы, установленные </w:t>
      </w:r>
      <w:r w:rsidR="0004002E">
        <w:rPr>
          <w:sz w:val="24"/>
          <w:szCs w:val="24"/>
        </w:rPr>
        <w:t>приложениями к настояще</w:t>
      </w:r>
      <w:r w:rsidRPr="00FB5A1A">
        <w:rPr>
          <w:sz w:val="24"/>
          <w:szCs w:val="24"/>
        </w:rPr>
        <w:t>м</w:t>
      </w:r>
      <w:r w:rsidR="0004002E">
        <w:rPr>
          <w:sz w:val="24"/>
          <w:szCs w:val="24"/>
        </w:rPr>
        <w:t>у</w:t>
      </w:r>
      <w:r w:rsidRPr="00FB5A1A">
        <w:rPr>
          <w:sz w:val="24"/>
          <w:szCs w:val="24"/>
        </w:rPr>
        <w:t xml:space="preserve"> постановле</w:t>
      </w:r>
      <w:r w:rsidR="0004002E">
        <w:rPr>
          <w:sz w:val="24"/>
          <w:szCs w:val="24"/>
        </w:rPr>
        <w:t>нию</w:t>
      </w:r>
      <w:r w:rsidRPr="00FB5A1A">
        <w:rPr>
          <w:sz w:val="24"/>
          <w:szCs w:val="24"/>
        </w:rPr>
        <w:t>, действуют согласно календарной разбивке</w:t>
      </w:r>
      <w:r w:rsidR="0004002E">
        <w:rPr>
          <w:sz w:val="24"/>
          <w:szCs w:val="24"/>
        </w:rPr>
        <w:t>, указанной в приложениях</w:t>
      </w:r>
      <w:r w:rsidRPr="00FB5A1A">
        <w:rPr>
          <w:sz w:val="24"/>
          <w:szCs w:val="24"/>
        </w:rPr>
        <w:t>.</w:t>
      </w:r>
    </w:p>
    <w:p w:rsidR="009812FD" w:rsidRPr="00FB5A1A" w:rsidRDefault="009812FD" w:rsidP="00D84589">
      <w:pPr>
        <w:pStyle w:val="a3"/>
        <w:tabs>
          <w:tab w:val="clear" w:pos="4536"/>
          <w:tab w:val="clear" w:pos="9072"/>
          <w:tab w:val="left" w:pos="7371"/>
        </w:tabs>
        <w:spacing w:line="228" w:lineRule="auto"/>
        <w:ind w:firstLine="567"/>
        <w:jc w:val="both"/>
        <w:rPr>
          <w:sz w:val="24"/>
          <w:szCs w:val="24"/>
        </w:rPr>
      </w:pPr>
      <w:r w:rsidRPr="00FB5A1A">
        <w:rPr>
          <w:sz w:val="24"/>
          <w:szCs w:val="24"/>
        </w:rPr>
        <w:t xml:space="preserve">3. Признать </w:t>
      </w:r>
      <w:r w:rsidR="00754E94">
        <w:rPr>
          <w:sz w:val="24"/>
          <w:szCs w:val="24"/>
        </w:rPr>
        <w:t>утратившими силу с 1 января 2014</w:t>
      </w:r>
      <w:r w:rsidRPr="00FB5A1A">
        <w:rPr>
          <w:sz w:val="24"/>
          <w:szCs w:val="24"/>
        </w:rPr>
        <w:t xml:space="preserve"> года постановления Государственного комитета «Единый тарифный орган Челябинской области»:</w:t>
      </w:r>
    </w:p>
    <w:p w:rsidR="009812FD" w:rsidRPr="00FB5A1A" w:rsidRDefault="009812FD" w:rsidP="00D84589">
      <w:pPr>
        <w:pStyle w:val="a3"/>
        <w:tabs>
          <w:tab w:val="clear" w:pos="4536"/>
          <w:tab w:val="clear" w:pos="9072"/>
          <w:tab w:val="left" w:pos="7371"/>
        </w:tabs>
        <w:spacing w:line="228" w:lineRule="auto"/>
        <w:ind w:firstLine="567"/>
        <w:jc w:val="both"/>
        <w:rPr>
          <w:sz w:val="24"/>
          <w:szCs w:val="24"/>
        </w:rPr>
      </w:pPr>
      <w:r w:rsidRPr="00FB5A1A">
        <w:rPr>
          <w:sz w:val="24"/>
          <w:szCs w:val="24"/>
        </w:rPr>
        <w:t>- от 19 декабря 2012 года № 54/1 «Об установлении тарифов на электрическую энергию, поставляемую ОАО «Челябэнергосбыт» населению и приравненным к нему категориям потребителей на территории Челябинской области»;</w:t>
      </w:r>
    </w:p>
    <w:p w:rsidR="009812FD" w:rsidRPr="00FB5A1A" w:rsidRDefault="009812FD" w:rsidP="00D84589">
      <w:pPr>
        <w:pStyle w:val="a3"/>
        <w:tabs>
          <w:tab w:val="clear" w:pos="4536"/>
          <w:tab w:val="clear" w:pos="9072"/>
          <w:tab w:val="left" w:pos="7371"/>
        </w:tabs>
        <w:spacing w:line="228" w:lineRule="auto"/>
        <w:ind w:firstLine="567"/>
        <w:jc w:val="both"/>
        <w:rPr>
          <w:sz w:val="24"/>
          <w:szCs w:val="24"/>
        </w:rPr>
      </w:pPr>
      <w:r w:rsidRPr="00FB5A1A">
        <w:rPr>
          <w:sz w:val="24"/>
          <w:szCs w:val="24"/>
        </w:rPr>
        <w:t>-</w:t>
      </w:r>
      <w:r>
        <w:rPr>
          <w:sz w:val="24"/>
          <w:szCs w:val="24"/>
        </w:rPr>
        <w:t xml:space="preserve"> от 19 декабря 2012 года № 54/2</w:t>
      </w:r>
      <w:r w:rsidRPr="00FB5A1A">
        <w:rPr>
          <w:sz w:val="24"/>
          <w:szCs w:val="24"/>
        </w:rPr>
        <w:t xml:space="preserve"> «Об установлении тарифов на электр</w:t>
      </w:r>
      <w:r>
        <w:rPr>
          <w:sz w:val="24"/>
          <w:szCs w:val="24"/>
        </w:rPr>
        <w:t>ическую энергию, поставляемую ОО</w:t>
      </w:r>
      <w:r w:rsidRPr="00FB5A1A">
        <w:rPr>
          <w:sz w:val="24"/>
          <w:szCs w:val="24"/>
        </w:rPr>
        <w:t>О «</w:t>
      </w:r>
      <w:r>
        <w:rPr>
          <w:sz w:val="24"/>
          <w:szCs w:val="24"/>
        </w:rPr>
        <w:t>Магнитогорская энергетическая компания</w:t>
      </w:r>
      <w:r w:rsidRPr="00FB5A1A">
        <w:rPr>
          <w:sz w:val="24"/>
          <w:szCs w:val="24"/>
        </w:rPr>
        <w:t xml:space="preserve">» населению </w:t>
      </w:r>
      <w:r>
        <w:rPr>
          <w:sz w:val="24"/>
          <w:szCs w:val="24"/>
        </w:rPr>
        <w:br/>
      </w:r>
      <w:r w:rsidRPr="00FB5A1A">
        <w:rPr>
          <w:sz w:val="24"/>
          <w:szCs w:val="24"/>
        </w:rPr>
        <w:t>и приравненным к нему категориям потребителей на территории Челябинской области»;</w:t>
      </w:r>
    </w:p>
    <w:p w:rsidR="009812FD" w:rsidRPr="00FB5A1A" w:rsidRDefault="009812FD" w:rsidP="00D84589">
      <w:pPr>
        <w:pStyle w:val="a3"/>
        <w:tabs>
          <w:tab w:val="clear" w:pos="4536"/>
          <w:tab w:val="clear" w:pos="9072"/>
          <w:tab w:val="left" w:pos="7371"/>
        </w:tabs>
        <w:spacing w:line="228" w:lineRule="auto"/>
        <w:ind w:firstLine="567"/>
        <w:jc w:val="both"/>
        <w:rPr>
          <w:sz w:val="24"/>
          <w:szCs w:val="24"/>
        </w:rPr>
      </w:pPr>
      <w:r w:rsidRPr="00FB5A1A">
        <w:rPr>
          <w:sz w:val="24"/>
          <w:szCs w:val="24"/>
        </w:rPr>
        <w:t>-</w:t>
      </w:r>
      <w:r>
        <w:rPr>
          <w:sz w:val="24"/>
          <w:szCs w:val="24"/>
        </w:rPr>
        <w:t xml:space="preserve"> от 19 декабря 2012 года № 54/3</w:t>
      </w:r>
      <w:r w:rsidRPr="00FB5A1A">
        <w:rPr>
          <w:sz w:val="24"/>
          <w:szCs w:val="24"/>
        </w:rPr>
        <w:t xml:space="preserve"> «Об установлении тарифов на электрическую </w:t>
      </w:r>
      <w:r>
        <w:rPr>
          <w:sz w:val="24"/>
          <w:szCs w:val="24"/>
        </w:rPr>
        <w:t>энергию, поставляемую ОАО «Оборон</w:t>
      </w:r>
      <w:r w:rsidRPr="00FB5A1A">
        <w:rPr>
          <w:sz w:val="24"/>
          <w:szCs w:val="24"/>
        </w:rPr>
        <w:t>энергосбыт» населению и приравненным к нему категориям потребителей на территории Челябинской области</w:t>
      </w:r>
      <w:r>
        <w:rPr>
          <w:sz w:val="24"/>
          <w:szCs w:val="24"/>
        </w:rPr>
        <w:t>».</w:t>
      </w:r>
    </w:p>
    <w:p w:rsidR="009812FD" w:rsidRDefault="009812FD" w:rsidP="009812FD">
      <w:pPr>
        <w:pStyle w:val="a3"/>
        <w:tabs>
          <w:tab w:val="clear" w:pos="4536"/>
          <w:tab w:val="clear" w:pos="9072"/>
          <w:tab w:val="left" w:pos="567"/>
          <w:tab w:val="left" w:pos="6804"/>
        </w:tabs>
        <w:jc w:val="both"/>
        <w:rPr>
          <w:szCs w:val="28"/>
        </w:rPr>
      </w:pPr>
    </w:p>
    <w:p w:rsidR="009812FD" w:rsidRPr="00FB5A1A" w:rsidRDefault="009812FD" w:rsidP="008E6383">
      <w:pPr>
        <w:pStyle w:val="a3"/>
        <w:tabs>
          <w:tab w:val="clear" w:pos="4536"/>
          <w:tab w:val="clear" w:pos="9072"/>
          <w:tab w:val="left" w:pos="567"/>
          <w:tab w:val="left" w:pos="6804"/>
        </w:tabs>
        <w:ind w:firstLine="851"/>
        <w:jc w:val="both"/>
        <w:rPr>
          <w:sz w:val="24"/>
          <w:szCs w:val="24"/>
        </w:rPr>
      </w:pPr>
      <w:r w:rsidRPr="00FB5A1A">
        <w:rPr>
          <w:sz w:val="24"/>
          <w:szCs w:val="24"/>
        </w:rPr>
        <w:t xml:space="preserve">Исполняющий обязанности </w:t>
      </w:r>
    </w:p>
    <w:p w:rsidR="009812FD" w:rsidRPr="00FB5A1A" w:rsidRDefault="009812FD" w:rsidP="009812FD">
      <w:pPr>
        <w:pStyle w:val="a3"/>
        <w:tabs>
          <w:tab w:val="clear" w:pos="4536"/>
          <w:tab w:val="clear" w:pos="9072"/>
          <w:tab w:val="left" w:pos="567"/>
          <w:tab w:val="left" w:pos="6804"/>
        </w:tabs>
        <w:jc w:val="both"/>
        <w:rPr>
          <w:sz w:val="24"/>
          <w:szCs w:val="24"/>
        </w:rPr>
      </w:pPr>
      <w:r w:rsidRPr="00FB5A1A">
        <w:rPr>
          <w:sz w:val="24"/>
          <w:szCs w:val="24"/>
        </w:rPr>
        <w:t xml:space="preserve">Председателя Государственного комитета               </w:t>
      </w:r>
      <w:r>
        <w:rPr>
          <w:sz w:val="24"/>
          <w:szCs w:val="24"/>
        </w:rPr>
        <w:t xml:space="preserve">                       </w:t>
      </w:r>
      <w:r w:rsidRPr="00FB5A1A">
        <w:rPr>
          <w:sz w:val="24"/>
          <w:szCs w:val="24"/>
        </w:rPr>
        <w:t xml:space="preserve">                               Т.В. Кучиц</w:t>
      </w:r>
    </w:p>
    <w:tbl>
      <w:tblPr>
        <w:tblW w:w="0" w:type="auto"/>
        <w:tblLook w:val="04A0" w:firstRow="1" w:lastRow="0" w:firstColumn="1" w:lastColumn="0" w:noHBand="0" w:noVBand="1"/>
      </w:tblPr>
      <w:tblGrid>
        <w:gridCol w:w="4786"/>
        <w:gridCol w:w="5041"/>
      </w:tblGrid>
      <w:tr w:rsidR="009812FD" w:rsidRPr="00D553A4" w:rsidTr="007723E9">
        <w:trPr>
          <w:trHeight w:val="651"/>
        </w:trPr>
        <w:tc>
          <w:tcPr>
            <w:tcW w:w="4786" w:type="dxa"/>
          </w:tcPr>
          <w:p w:rsidR="009812FD" w:rsidRPr="00D553A4" w:rsidRDefault="009812FD" w:rsidP="008D765F">
            <w:pPr>
              <w:pStyle w:val="a3"/>
              <w:tabs>
                <w:tab w:val="clear" w:pos="4536"/>
                <w:tab w:val="left" w:pos="709"/>
                <w:tab w:val="left" w:pos="7371"/>
              </w:tabs>
              <w:jc w:val="center"/>
              <w:rPr>
                <w:sz w:val="24"/>
                <w:szCs w:val="24"/>
              </w:rPr>
            </w:pPr>
          </w:p>
        </w:tc>
        <w:tc>
          <w:tcPr>
            <w:tcW w:w="5041" w:type="dxa"/>
          </w:tcPr>
          <w:p w:rsidR="009812FD" w:rsidRPr="007723E9" w:rsidRDefault="009812FD" w:rsidP="007723E9">
            <w:pPr>
              <w:pStyle w:val="a3"/>
              <w:tabs>
                <w:tab w:val="clear" w:pos="4536"/>
                <w:tab w:val="left" w:pos="709"/>
                <w:tab w:val="left" w:pos="7371"/>
              </w:tabs>
              <w:ind w:firstLine="709"/>
              <w:jc w:val="center"/>
              <w:rPr>
                <w:sz w:val="16"/>
                <w:szCs w:val="16"/>
              </w:rPr>
            </w:pPr>
            <w:r w:rsidRPr="007723E9">
              <w:rPr>
                <w:sz w:val="16"/>
                <w:szCs w:val="16"/>
              </w:rPr>
              <w:t>Приложение</w:t>
            </w:r>
            <w:r w:rsidR="0004002E" w:rsidRPr="007723E9">
              <w:rPr>
                <w:sz w:val="16"/>
                <w:szCs w:val="16"/>
              </w:rPr>
              <w:t xml:space="preserve"> 1 </w:t>
            </w:r>
            <w:r w:rsidR="0004002E" w:rsidRPr="007723E9">
              <w:rPr>
                <w:sz w:val="16"/>
                <w:szCs w:val="16"/>
              </w:rPr>
              <w:br/>
              <w:t>к постановлению</w:t>
            </w:r>
            <w:r w:rsidRPr="007723E9">
              <w:rPr>
                <w:sz w:val="16"/>
                <w:szCs w:val="16"/>
              </w:rPr>
              <w:t xml:space="preserve"> Государственного комитета </w:t>
            </w:r>
            <w:r w:rsidR="007723E9">
              <w:rPr>
                <w:sz w:val="16"/>
                <w:szCs w:val="16"/>
              </w:rPr>
              <w:br/>
            </w:r>
            <w:r w:rsidRPr="007723E9">
              <w:rPr>
                <w:sz w:val="16"/>
                <w:szCs w:val="16"/>
              </w:rPr>
              <w:t xml:space="preserve">«Единый тарифный орган Челябинской области» </w:t>
            </w:r>
            <w:r w:rsidR="007723E9">
              <w:rPr>
                <w:sz w:val="16"/>
                <w:szCs w:val="16"/>
              </w:rPr>
              <w:br/>
            </w:r>
            <w:r w:rsidRPr="007723E9">
              <w:rPr>
                <w:sz w:val="16"/>
                <w:szCs w:val="16"/>
              </w:rPr>
              <w:t xml:space="preserve">от 19 декабря 2013 года </w:t>
            </w:r>
            <w:r w:rsidR="0004002E" w:rsidRPr="007723E9">
              <w:rPr>
                <w:sz w:val="16"/>
                <w:szCs w:val="16"/>
              </w:rPr>
              <w:t>№ 58</w:t>
            </w:r>
            <w:r w:rsidR="005C7DCB">
              <w:rPr>
                <w:sz w:val="16"/>
                <w:szCs w:val="16"/>
              </w:rPr>
              <w:t>/7</w:t>
            </w:r>
          </w:p>
        </w:tc>
      </w:tr>
    </w:tbl>
    <w:p w:rsidR="009812FD" w:rsidRDefault="009812FD" w:rsidP="009812FD">
      <w:pPr>
        <w:pStyle w:val="a3"/>
        <w:tabs>
          <w:tab w:val="clear" w:pos="4536"/>
          <w:tab w:val="left" w:pos="709"/>
          <w:tab w:val="left" w:pos="7371"/>
        </w:tabs>
        <w:ind w:firstLine="709"/>
        <w:jc w:val="center"/>
        <w:rPr>
          <w:sz w:val="24"/>
          <w:szCs w:val="24"/>
        </w:rPr>
      </w:pPr>
      <w:r>
        <w:rPr>
          <w:sz w:val="24"/>
          <w:szCs w:val="24"/>
        </w:rPr>
        <w:t>Цены (тарифы) на электрическую энергию для населения и приравненным к</w:t>
      </w:r>
      <w:r w:rsidR="00D84589">
        <w:rPr>
          <w:sz w:val="24"/>
          <w:szCs w:val="24"/>
        </w:rPr>
        <w:t xml:space="preserve"> нему категориям потребителей на территории</w:t>
      </w:r>
      <w:r>
        <w:rPr>
          <w:sz w:val="24"/>
          <w:szCs w:val="24"/>
        </w:rPr>
        <w:t xml:space="preserve"> Челябинской области </w:t>
      </w:r>
    </w:p>
    <w:tbl>
      <w:tblPr>
        <w:tblW w:w="9923" w:type="dxa"/>
        <w:tblInd w:w="-176" w:type="dxa"/>
        <w:tblLook w:val="04A0" w:firstRow="1" w:lastRow="0" w:firstColumn="1" w:lastColumn="0" w:noHBand="0" w:noVBand="1"/>
      </w:tblPr>
      <w:tblGrid>
        <w:gridCol w:w="710"/>
        <w:gridCol w:w="3969"/>
        <w:gridCol w:w="1417"/>
        <w:gridCol w:w="1701"/>
        <w:gridCol w:w="142"/>
        <w:gridCol w:w="1984"/>
      </w:tblGrid>
      <w:tr w:rsidR="009812FD" w:rsidRPr="008E70AD" w:rsidTr="008D765F">
        <w:trPr>
          <w:trHeight w:val="431"/>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2FD" w:rsidRPr="008E70AD" w:rsidRDefault="009812FD" w:rsidP="008D765F">
            <w:pPr>
              <w:jc w:val="center"/>
              <w:rPr>
                <w:b/>
                <w:bCs/>
                <w:color w:val="000000"/>
              </w:rPr>
            </w:pPr>
            <w:r w:rsidRPr="008E70AD">
              <w:rPr>
                <w:b/>
                <w:bCs/>
                <w:color w:val="000000"/>
              </w:rPr>
              <w:t>№ п/п</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2FD" w:rsidRPr="008E70AD" w:rsidRDefault="009812FD" w:rsidP="008D765F">
            <w:pPr>
              <w:jc w:val="center"/>
              <w:rPr>
                <w:b/>
                <w:bCs/>
                <w:color w:val="000000"/>
              </w:rPr>
            </w:pPr>
            <w:r w:rsidRPr="008E70AD">
              <w:rPr>
                <w:b/>
                <w:bCs/>
                <w:color w:val="000000"/>
              </w:rPr>
              <w:t>Показатель (группы потребителей с разбивкой по ставкам и дифференциацией по зонам суток)</w:t>
            </w:r>
            <w:r w:rsidRPr="006F0F4E">
              <w:rPr>
                <w:b/>
                <w:bCs/>
                <w:color w:val="000000"/>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2FD" w:rsidRPr="008E70AD" w:rsidRDefault="009812FD" w:rsidP="008D765F">
            <w:pPr>
              <w:jc w:val="center"/>
              <w:rPr>
                <w:b/>
                <w:bCs/>
                <w:color w:val="000000"/>
              </w:rPr>
            </w:pPr>
            <w:r w:rsidRPr="008E70AD">
              <w:rPr>
                <w:b/>
                <w:bCs/>
                <w:color w:val="000000"/>
              </w:rPr>
              <w:t>Единица измерения</w:t>
            </w:r>
          </w:p>
        </w:tc>
        <w:tc>
          <w:tcPr>
            <w:tcW w:w="3827" w:type="dxa"/>
            <w:gridSpan w:val="3"/>
            <w:tcBorders>
              <w:top w:val="single" w:sz="4" w:space="0" w:color="auto"/>
              <w:left w:val="nil"/>
              <w:bottom w:val="single" w:sz="4" w:space="0" w:color="auto"/>
              <w:right w:val="single" w:sz="4" w:space="0" w:color="000000"/>
            </w:tcBorders>
            <w:shd w:val="clear" w:color="auto" w:fill="auto"/>
            <w:vAlign w:val="center"/>
            <w:hideMark/>
          </w:tcPr>
          <w:p w:rsidR="009812FD" w:rsidRPr="008E70AD" w:rsidRDefault="009812FD" w:rsidP="008D765F">
            <w:pPr>
              <w:jc w:val="center"/>
              <w:rPr>
                <w:b/>
                <w:bCs/>
                <w:color w:val="000000"/>
              </w:rPr>
            </w:pPr>
            <w:r w:rsidRPr="008E70AD">
              <w:rPr>
                <w:b/>
                <w:bCs/>
                <w:color w:val="000000"/>
              </w:rPr>
              <w:t>Цена (тариф)</w:t>
            </w:r>
          </w:p>
        </w:tc>
      </w:tr>
      <w:tr w:rsidR="009812FD" w:rsidRPr="008E70AD" w:rsidTr="008D765F">
        <w:trPr>
          <w:trHeight w:val="848"/>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812FD" w:rsidRPr="008E70AD" w:rsidRDefault="009812FD" w:rsidP="008D765F">
            <w:pPr>
              <w:rPr>
                <w:b/>
                <w:bCs/>
                <w:color w:val="00000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812FD" w:rsidRPr="008E70AD" w:rsidRDefault="009812FD" w:rsidP="008D765F">
            <w:pPr>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812FD" w:rsidRPr="008E70AD" w:rsidRDefault="009812FD" w:rsidP="008D765F">
            <w:pPr>
              <w:rPr>
                <w:b/>
                <w:bCs/>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9812FD" w:rsidRPr="008E70AD" w:rsidRDefault="009812FD" w:rsidP="008D765F">
            <w:pPr>
              <w:jc w:val="center"/>
              <w:rPr>
                <w:b/>
                <w:bCs/>
                <w:color w:val="000000"/>
              </w:rPr>
            </w:pPr>
            <w:r w:rsidRPr="008E70AD">
              <w:rPr>
                <w:b/>
                <w:bCs/>
                <w:color w:val="000000"/>
              </w:rPr>
              <w:t>01.01.2014 г. по 30.06.2014 г.</w:t>
            </w:r>
          </w:p>
        </w:tc>
        <w:tc>
          <w:tcPr>
            <w:tcW w:w="2126" w:type="dxa"/>
            <w:gridSpan w:val="2"/>
            <w:tcBorders>
              <w:top w:val="nil"/>
              <w:left w:val="nil"/>
              <w:bottom w:val="single" w:sz="4" w:space="0" w:color="auto"/>
              <w:right w:val="single" w:sz="4" w:space="0" w:color="auto"/>
            </w:tcBorders>
            <w:shd w:val="clear" w:color="auto" w:fill="auto"/>
            <w:vAlign w:val="center"/>
            <w:hideMark/>
          </w:tcPr>
          <w:p w:rsidR="009812FD" w:rsidRPr="008E70AD" w:rsidRDefault="009812FD" w:rsidP="008D765F">
            <w:pPr>
              <w:jc w:val="center"/>
              <w:rPr>
                <w:b/>
                <w:bCs/>
                <w:color w:val="000000"/>
              </w:rPr>
            </w:pPr>
            <w:r w:rsidRPr="008E70AD">
              <w:rPr>
                <w:b/>
                <w:bCs/>
                <w:color w:val="000000"/>
              </w:rPr>
              <w:t>с 01.07.2014 г. по 31.12.2014 г. (в пределах соц</w:t>
            </w:r>
            <w:r w:rsidR="008D765F">
              <w:rPr>
                <w:b/>
                <w:bCs/>
                <w:color w:val="000000"/>
              </w:rPr>
              <w:t>.</w:t>
            </w:r>
            <w:r w:rsidRPr="008E70AD">
              <w:rPr>
                <w:b/>
                <w:bCs/>
                <w:color w:val="000000"/>
              </w:rPr>
              <w:t xml:space="preserve"> нормы)</w:t>
            </w:r>
          </w:p>
        </w:tc>
      </w:tr>
      <w:tr w:rsidR="009812FD" w:rsidRPr="008E70AD" w:rsidTr="008D765F">
        <w:trPr>
          <w:trHeight w:val="13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2FD" w:rsidRPr="007723E9" w:rsidRDefault="009812FD" w:rsidP="008D765F">
            <w:pPr>
              <w:jc w:val="center"/>
              <w:rPr>
                <w:color w:val="000000"/>
                <w:sz w:val="16"/>
                <w:szCs w:val="16"/>
              </w:rPr>
            </w:pPr>
            <w:r w:rsidRPr="007723E9">
              <w:rPr>
                <w:color w:val="000000"/>
                <w:sz w:val="16"/>
                <w:szCs w:val="16"/>
              </w:rPr>
              <w:t>1</w:t>
            </w:r>
          </w:p>
        </w:tc>
        <w:tc>
          <w:tcPr>
            <w:tcW w:w="3969" w:type="dxa"/>
            <w:tcBorders>
              <w:top w:val="nil"/>
              <w:left w:val="nil"/>
              <w:bottom w:val="single" w:sz="4" w:space="0" w:color="auto"/>
              <w:right w:val="single" w:sz="4" w:space="0" w:color="auto"/>
            </w:tcBorders>
            <w:shd w:val="clear" w:color="auto" w:fill="auto"/>
            <w:vAlign w:val="center"/>
            <w:hideMark/>
          </w:tcPr>
          <w:p w:rsidR="009812FD" w:rsidRPr="007723E9" w:rsidRDefault="009812FD" w:rsidP="008D765F">
            <w:pPr>
              <w:jc w:val="center"/>
              <w:rPr>
                <w:color w:val="000000"/>
                <w:sz w:val="16"/>
                <w:szCs w:val="16"/>
              </w:rPr>
            </w:pPr>
            <w:r w:rsidRPr="007723E9">
              <w:rPr>
                <w:color w:val="000000"/>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9812FD" w:rsidRPr="007723E9" w:rsidRDefault="009812FD" w:rsidP="008D765F">
            <w:pPr>
              <w:jc w:val="center"/>
              <w:rPr>
                <w:color w:val="000000"/>
                <w:sz w:val="16"/>
                <w:szCs w:val="16"/>
              </w:rPr>
            </w:pPr>
            <w:r w:rsidRPr="007723E9">
              <w:rPr>
                <w:color w:val="000000"/>
                <w:sz w:val="16"/>
                <w:szCs w:val="16"/>
              </w:rPr>
              <w:t>3</w:t>
            </w:r>
          </w:p>
        </w:tc>
        <w:tc>
          <w:tcPr>
            <w:tcW w:w="1701" w:type="dxa"/>
            <w:tcBorders>
              <w:top w:val="nil"/>
              <w:left w:val="nil"/>
              <w:bottom w:val="single" w:sz="4" w:space="0" w:color="auto"/>
              <w:right w:val="single" w:sz="4" w:space="0" w:color="auto"/>
            </w:tcBorders>
            <w:shd w:val="clear" w:color="auto" w:fill="auto"/>
            <w:noWrap/>
            <w:vAlign w:val="center"/>
            <w:hideMark/>
          </w:tcPr>
          <w:p w:rsidR="009812FD" w:rsidRPr="007723E9" w:rsidRDefault="009812FD" w:rsidP="008D765F">
            <w:pPr>
              <w:jc w:val="center"/>
              <w:rPr>
                <w:color w:val="000000"/>
                <w:sz w:val="16"/>
                <w:szCs w:val="16"/>
              </w:rPr>
            </w:pPr>
            <w:r w:rsidRPr="007723E9">
              <w:rPr>
                <w:color w:val="000000"/>
                <w:sz w:val="16"/>
                <w:szCs w:val="16"/>
              </w:rPr>
              <w:t>4</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9812FD" w:rsidRPr="007723E9" w:rsidRDefault="009812FD" w:rsidP="008D765F">
            <w:pPr>
              <w:jc w:val="center"/>
              <w:rPr>
                <w:color w:val="000000"/>
                <w:sz w:val="16"/>
                <w:szCs w:val="16"/>
              </w:rPr>
            </w:pPr>
            <w:r w:rsidRPr="007723E9">
              <w:rPr>
                <w:color w:val="000000"/>
                <w:sz w:val="16"/>
                <w:szCs w:val="16"/>
              </w:rPr>
              <w:t>5</w:t>
            </w:r>
          </w:p>
        </w:tc>
      </w:tr>
      <w:tr w:rsidR="009812FD" w:rsidRPr="008E70AD" w:rsidTr="008D765F">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812FD" w:rsidRPr="008E70AD" w:rsidRDefault="009812FD" w:rsidP="008D765F">
            <w:pPr>
              <w:jc w:val="center"/>
              <w:rPr>
                <w:color w:val="000000"/>
              </w:rPr>
            </w:pPr>
            <w:r w:rsidRPr="008E70AD">
              <w:rPr>
                <w:color w:val="000000"/>
              </w:rPr>
              <w:t>1</w:t>
            </w:r>
            <w:r w:rsidR="0004002E">
              <w:rPr>
                <w:color w:val="000000"/>
              </w:rPr>
              <w:t>.</w:t>
            </w:r>
          </w:p>
        </w:tc>
        <w:tc>
          <w:tcPr>
            <w:tcW w:w="9213" w:type="dxa"/>
            <w:gridSpan w:val="5"/>
            <w:tcBorders>
              <w:top w:val="nil"/>
              <w:left w:val="nil"/>
              <w:bottom w:val="single" w:sz="4" w:space="0" w:color="auto"/>
              <w:right w:val="single" w:sz="4" w:space="0" w:color="auto"/>
            </w:tcBorders>
            <w:shd w:val="clear" w:color="auto" w:fill="auto"/>
            <w:noWrap/>
            <w:vAlign w:val="center"/>
            <w:hideMark/>
          </w:tcPr>
          <w:p w:rsidR="009812FD" w:rsidRPr="008E70AD" w:rsidRDefault="009812FD" w:rsidP="008D765F">
            <w:pPr>
              <w:rPr>
                <w:color w:val="FF0000"/>
              </w:rPr>
            </w:pPr>
            <w:r w:rsidRPr="008E70AD">
              <w:rPr>
                <w:color w:val="000000"/>
              </w:rPr>
              <w:t>Население (</w:t>
            </w:r>
            <w:r>
              <w:rPr>
                <w:color w:val="000000"/>
              </w:rPr>
              <w:t xml:space="preserve">тарифы указываются </w:t>
            </w:r>
            <w:r w:rsidRPr="008E70AD">
              <w:rPr>
                <w:color w:val="000000"/>
              </w:rPr>
              <w:t>с учетом НДС)</w:t>
            </w:r>
          </w:p>
        </w:tc>
      </w:tr>
      <w:tr w:rsidR="009812FD" w:rsidRPr="008E70AD" w:rsidTr="008D765F">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812FD" w:rsidRPr="008E70AD" w:rsidRDefault="009812FD" w:rsidP="008D765F">
            <w:pPr>
              <w:jc w:val="center"/>
              <w:rPr>
                <w:color w:val="000000"/>
              </w:rPr>
            </w:pPr>
            <w:r w:rsidRPr="008E70AD">
              <w:rPr>
                <w:color w:val="000000"/>
              </w:rPr>
              <w:t>1. 1</w:t>
            </w:r>
            <w:r w:rsidR="0004002E">
              <w:rPr>
                <w:color w:val="000000"/>
              </w:rPr>
              <w:t>.</w:t>
            </w:r>
          </w:p>
        </w:tc>
        <w:tc>
          <w:tcPr>
            <w:tcW w:w="9213" w:type="dxa"/>
            <w:gridSpan w:val="5"/>
            <w:tcBorders>
              <w:top w:val="nil"/>
              <w:left w:val="nil"/>
              <w:bottom w:val="single" w:sz="4" w:space="0" w:color="auto"/>
              <w:right w:val="single" w:sz="4" w:space="0" w:color="auto"/>
            </w:tcBorders>
            <w:shd w:val="clear" w:color="auto" w:fill="auto"/>
            <w:noWrap/>
            <w:vAlign w:val="center"/>
            <w:hideMark/>
          </w:tcPr>
          <w:p w:rsidR="009812FD" w:rsidRPr="008E70AD" w:rsidRDefault="009812FD" w:rsidP="008D765F">
            <w:pPr>
              <w:rPr>
                <w:color w:val="000000"/>
              </w:rPr>
            </w:pPr>
            <w:r w:rsidRPr="008E70AD">
              <w:rPr>
                <w:color w:val="000000"/>
              </w:rPr>
              <w:t>Население, за иск</w:t>
            </w:r>
            <w:r w:rsidR="0004002E">
              <w:rPr>
                <w:color w:val="000000"/>
              </w:rPr>
              <w:t xml:space="preserve">лючением указанного в пунктах 2 и </w:t>
            </w:r>
            <w:r w:rsidRPr="008E70AD">
              <w:rPr>
                <w:color w:val="000000"/>
              </w:rPr>
              <w:t>3</w:t>
            </w:r>
          </w:p>
        </w:tc>
      </w:tr>
      <w:tr w:rsidR="009812FD" w:rsidRPr="008E70AD" w:rsidTr="008D765F">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812FD" w:rsidRPr="008E70AD" w:rsidRDefault="009812FD" w:rsidP="008D765F">
            <w:pPr>
              <w:jc w:val="center"/>
              <w:rPr>
                <w:color w:val="000000"/>
              </w:rPr>
            </w:pPr>
            <w:r w:rsidRPr="008E70AD">
              <w:rPr>
                <w:color w:val="000000"/>
              </w:rPr>
              <w:t>1.1.1</w:t>
            </w:r>
            <w:r w:rsidR="0004002E">
              <w:rPr>
                <w:color w:val="000000"/>
              </w:rPr>
              <w:t>.</w:t>
            </w:r>
          </w:p>
        </w:tc>
        <w:tc>
          <w:tcPr>
            <w:tcW w:w="3969" w:type="dxa"/>
            <w:tcBorders>
              <w:top w:val="nil"/>
              <w:left w:val="nil"/>
              <w:bottom w:val="single" w:sz="4" w:space="0" w:color="auto"/>
              <w:right w:val="nil"/>
            </w:tcBorders>
            <w:shd w:val="clear" w:color="auto" w:fill="auto"/>
            <w:noWrap/>
            <w:vAlign w:val="bottom"/>
            <w:hideMark/>
          </w:tcPr>
          <w:p w:rsidR="009812FD" w:rsidRPr="008E70AD" w:rsidRDefault="009812FD" w:rsidP="008D765F">
            <w:pPr>
              <w:rPr>
                <w:color w:val="000000"/>
              </w:rPr>
            </w:pPr>
            <w:r w:rsidRPr="008E70AD">
              <w:rPr>
                <w:color w:val="000000"/>
              </w:rPr>
              <w:t>Одноставочный тариф</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2,41</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2,51</w:t>
            </w:r>
          </w:p>
        </w:tc>
      </w:tr>
      <w:tr w:rsidR="009812FD" w:rsidRPr="008E70AD" w:rsidTr="008D765F">
        <w:trPr>
          <w:trHeight w:val="300"/>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2FD" w:rsidRPr="008E70AD" w:rsidRDefault="009812FD" w:rsidP="008D765F">
            <w:pPr>
              <w:jc w:val="center"/>
              <w:rPr>
                <w:color w:val="000000"/>
              </w:rPr>
            </w:pPr>
            <w:r w:rsidRPr="008E70AD">
              <w:rPr>
                <w:color w:val="000000"/>
              </w:rPr>
              <w:t>1.1.2</w:t>
            </w:r>
            <w:r w:rsidR="0004002E">
              <w:rPr>
                <w:color w:val="000000"/>
              </w:rPr>
              <w:t>.</w:t>
            </w:r>
          </w:p>
        </w:tc>
        <w:tc>
          <w:tcPr>
            <w:tcW w:w="9213" w:type="dxa"/>
            <w:gridSpan w:val="5"/>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rPr>
                <w:color w:val="000000"/>
              </w:rPr>
            </w:pPr>
            <w:r>
              <w:rPr>
                <w:color w:val="000000"/>
              </w:rPr>
              <w:t>Одноставочный т</w:t>
            </w:r>
            <w:r w:rsidRPr="008E70AD">
              <w:rPr>
                <w:color w:val="000000"/>
              </w:rPr>
              <w:t>ариф, дифференцированный по двум зонам суток</w:t>
            </w:r>
            <w:r>
              <w:rPr>
                <w:color w:val="000000"/>
              </w:rPr>
              <w:t>*</w:t>
            </w:r>
          </w:p>
        </w:tc>
      </w:tr>
      <w:tr w:rsidR="009812FD" w:rsidRPr="008E70AD" w:rsidTr="008D765F">
        <w:trPr>
          <w:trHeight w:val="300"/>
        </w:trPr>
        <w:tc>
          <w:tcPr>
            <w:tcW w:w="710" w:type="dxa"/>
            <w:vMerge/>
            <w:tcBorders>
              <w:top w:val="nil"/>
              <w:left w:val="single" w:sz="4" w:space="0" w:color="auto"/>
              <w:bottom w:val="single" w:sz="4" w:space="0" w:color="000000"/>
              <w:right w:val="single" w:sz="4" w:space="0" w:color="auto"/>
            </w:tcBorders>
            <w:vAlign w:val="center"/>
            <w:hideMark/>
          </w:tcPr>
          <w:p w:rsidR="009812FD" w:rsidRPr="008E70AD" w:rsidRDefault="009812FD" w:rsidP="008D765F">
            <w:pPr>
              <w:rPr>
                <w:color w:val="000000"/>
              </w:rPr>
            </w:pPr>
          </w:p>
        </w:tc>
        <w:tc>
          <w:tcPr>
            <w:tcW w:w="3969" w:type="dxa"/>
            <w:tcBorders>
              <w:top w:val="nil"/>
              <w:left w:val="nil"/>
              <w:bottom w:val="single" w:sz="4" w:space="0" w:color="auto"/>
              <w:right w:val="nil"/>
            </w:tcBorders>
            <w:shd w:val="clear" w:color="auto" w:fill="auto"/>
            <w:noWrap/>
            <w:vAlign w:val="bottom"/>
            <w:hideMark/>
          </w:tcPr>
          <w:p w:rsidR="009812FD" w:rsidRPr="008E70AD" w:rsidRDefault="009812FD" w:rsidP="008D765F">
            <w:pPr>
              <w:rPr>
                <w:color w:val="000000"/>
              </w:rPr>
            </w:pPr>
            <w:r>
              <w:rPr>
                <w:color w:val="000000"/>
              </w:rPr>
              <w:t>Дневная зона (п</w:t>
            </w:r>
            <w:r w:rsidRPr="008E70AD">
              <w:rPr>
                <w:color w:val="000000"/>
              </w:rPr>
              <w:t xml:space="preserve">иковая </w:t>
            </w:r>
            <w:r>
              <w:rPr>
                <w:color w:val="000000"/>
              </w:rPr>
              <w:t>и полупиковая)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2,85</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8E70AD" w:rsidRDefault="009812FD" w:rsidP="009F24A2">
            <w:pPr>
              <w:jc w:val="center"/>
              <w:rPr>
                <w:color w:val="000000"/>
              </w:rPr>
            </w:pPr>
            <w:r w:rsidRPr="008E70AD">
              <w:rPr>
                <w:color w:val="000000"/>
              </w:rPr>
              <w:t>2,</w:t>
            </w:r>
            <w:r w:rsidR="009F24A2">
              <w:rPr>
                <w:color w:val="000000"/>
              </w:rPr>
              <w:t>78</w:t>
            </w:r>
          </w:p>
        </w:tc>
      </w:tr>
      <w:tr w:rsidR="009812FD" w:rsidRPr="008E70AD" w:rsidTr="008D765F">
        <w:trPr>
          <w:trHeight w:val="300"/>
        </w:trPr>
        <w:tc>
          <w:tcPr>
            <w:tcW w:w="710" w:type="dxa"/>
            <w:vMerge/>
            <w:tcBorders>
              <w:top w:val="nil"/>
              <w:left w:val="single" w:sz="4" w:space="0" w:color="auto"/>
              <w:bottom w:val="single" w:sz="4" w:space="0" w:color="000000"/>
              <w:right w:val="single" w:sz="4" w:space="0" w:color="auto"/>
            </w:tcBorders>
            <w:vAlign w:val="center"/>
            <w:hideMark/>
          </w:tcPr>
          <w:p w:rsidR="009812FD" w:rsidRPr="008E70AD" w:rsidRDefault="009812FD" w:rsidP="008D765F">
            <w:pPr>
              <w:rPr>
                <w:color w:val="000000"/>
              </w:rPr>
            </w:pPr>
          </w:p>
        </w:tc>
        <w:tc>
          <w:tcPr>
            <w:tcW w:w="3969" w:type="dxa"/>
            <w:tcBorders>
              <w:top w:val="nil"/>
              <w:left w:val="nil"/>
              <w:bottom w:val="single" w:sz="4" w:space="0" w:color="auto"/>
              <w:right w:val="nil"/>
            </w:tcBorders>
            <w:shd w:val="clear" w:color="auto" w:fill="auto"/>
            <w:noWrap/>
            <w:vAlign w:val="bottom"/>
            <w:hideMark/>
          </w:tcPr>
          <w:p w:rsidR="009812FD" w:rsidRPr="008E70AD" w:rsidRDefault="009812FD" w:rsidP="008D765F">
            <w:pPr>
              <w:rPr>
                <w:color w:val="000000"/>
              </w:rPr>
            </w:pPr>
            <w:r w:rsidRPr="008E70AD">
              <w:rPr>
                <w:color w:val="000000"/>
              </w:rPr>
              <w:t>Ночная зона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1,38</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1,</w:t>
            </w:r>
            <w:r w:rsidR="009F24A2">
              <w:rPr>
                <w:color w:val="000000"/>
              </w:rPr>
              <w:t>79</w:t>
            </w:r>
          </w:p>
        </w:tc>
      </w:tr>
      <w:tr w:rsidR="009812FD" w:rsidRPr="008E70AD" w:rsidTr="008D765F">
        <w:trPr>
          <w:trHeight w:val="300"/>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2FD" w:rsidRPr="008E70AD" w:rsidRDefault="009812FD" w:rsidP="008D765F">
            <w:pPr>
              <w:jc w:val="center"/>
              <w:rPr>
                <w:color w:val="000000"/>
              </w:rPr>
            </w:pPr>
            <w:r w:rsidRPr="008E70AD">
              <w:rPr>
                <w:color w:val="000000"/>
              </w:rPr>
              <w:t>1.1.3</w:t>
            </w:r>
            <w:r w:rsidR="0004002E">
              <w:rPr>
                <w:color w:val="000000"/>
              </w:rPr>
              <w:t>.</w:t>
            </w:r>
          </w:p>
        </w:tc>
        <w:tc>
          <w:tcPr>
            <w:tcW w:w="9213" w:type="dxa"/>
            <w:gridSpan w:val="5"/>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rPr>
                <w:color w:val="000000"/>
              </w:rPr>
            </w:pPr>
            <w:r>
              <w:rPr>
                <w:color w:val="000000"/>
              </w:rPr>
              <w:t>Одноставочный т</w:t>
            </w:r>
            <w:r w:rsidRPr="008E70AD">
              <w:rPr>
                <w:color w:val="000000"/>
              </w:rPr>
              <w:t>ариф, дифференцированный по трем зонам суток</w:t>
            </w:r>
            <w:r>
              <w:rPr>
                <w:color w:val="000000"/>
              </w:rPr>
              <w:t>*</w:t>
            </w:r>
          </w:p>
        </w:tc>
      </w:tr>
      <w:tr w:rsidR="009812FD" w:rsidRPr="008E70AD" w:rsidTr="008D765F">
        <w:trPr>
          <w:trHeight w:val="315"/>
        </w:trPr>
        <w:tc>
          <w:tcPr>
            <w:tcW w:w="710" w:type="dxa"/>
            <w:vMerge/>
            <w:tcBorders>
              <w:top w:val="nil"/>
              <w:left w:val="single" w:sz="4" w:space="0" w:color="auto"/>
              <w:bottom w:val="single" w:sz="4" w:space="0" w:color="000000"/>
              <w:right w:val="single" w:sz="4" w:space="0" w:color="auto"/>
            </w:tcBorders>
            <w:vAlign w:val="center"/>
            <w:hideMark/>
          </w:tcPr>
          <w:p w:rsidR="009812FD" w:rsidRPr="008E70AD" w:rsidRDefault="009812FD" w:rsidP="008D765F">
            <w:pPr>
              <w:rPr>
                <w:color w:val="000000"/>
              </w:rPr>
            </w:pPr>
          </w:p>
        </w:tc>
        <w:tc>
          <w:tcPr>
            <w:tcW w:w="3969" w:type="dxa"/>
            <w:tcBorders>
              <w:top w:val="nil"/>
              <w:left w:val="nil"/>
              <w:bottom w:val="single" w:sz="4" w:space="0" w:color="auto"/>
              <w:right w:val="nil"/>
            </w:tcBorders>
            <w:shd w:val="clear" w:color="auto" w:fill="auto"/>
            <w:noWrap/>
            <w:vAlign w:val="bottom"/>
            <w:hideMark/>
          </w:tcPr>
          <w:p w:rsidR="009812FD" w:rsidRPr="008E70AD" w:rsidRDefault="009812FD" w:rsidP="008D765F">
            <w:pPr>
              <w:rPr>
                <w:color w:val="000000"/>
              </w:rPr>
            </w:pPr>
            <w:r w:rsidRPr="008E70AD">
              <w:rPr>
                <w:color w:val="000000"/>
              </w:rPr>
              <w:t>Пиковая зона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3,53</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3,</w:t>
            </w:r>
            <w:r w:rsidR="009F24A2">
              <w:rPr>
                <w:color w:val="000000"/>
              </w:rPr>
              <w:t>15</w:t>
            </w:r>
          </w:p>
        </w:tc>
      </w:tr>
      <w:tr w:rsidR="009812FD" w:rsidRPr="008E70AD" w:rsidTr="008D765F">
        <w:trPr>
          <w:trHeight w:val="300"/>
        </w:trPr>
        <w:tc>
          <w:tcPr>
            <w:tcW w:w="710" w:type="dxa"/>
            <w:vMerge/>
            <w:tcBorders>
              <w:top w:val="nil"/>
              <w:left w:val="single" w:sz="4" w:space="0" w:color="auto"/>
              <w:bottom w:val="single" w:sz="4" w:space="0" w:color="000000"/>
              <w:right w:val="single" w:sz="4" w:space="0" w:color="auto"/>
            </w:tcBorders>
            <w:vAlign w:val="center"/>
            <w:hideMark/>
          </w:tcPr>
          <w:p w:rsidR="009812FD" w:rsidRPr="008E70AD" w:rsidRDefault="009812FD" w:rsidP="008D765F">
            <w:pPr>
              <w:rPr>
                <w:color w:val="000000"/>
              </w:rPr>
            </w:pPr>
          </w:p>
        </w:tc>
        <w:tc>
          <w:tcPr>
            <w:tcW w:w="3969" w:type="dxa"/>
            <w:tcBorders>
              <w:top w:val="nil"/>
              <w:left w:val="nil"/>
              <w:bottom w:val="single" w:sz="4" w:space="0" w:color="auto"/>
              <w:right w:val="nil"/>
            </w:tcBorders>
            <w:shd w:val="clear" w:color="auto" w:fill="auto"/>
            <w:noWrap/>
            <w:vAlign w:val="bottom"/>
            <w:hideMark/>
          </w:tcPr>
          <w:p w:rsidR="009812FD" w:rsidRPr="008E70AD" w:rsidRDefault="009812FD" w:rsidP="008D765F">
            <w:pPr>
              <w:rPr>
                <w:color w:val="000000"/>
              </w:rPr>
            </w:pPr>
            <w:r w:rsidRPr="008E70AD">
              <w:rPr>
                <w:color w:val="000000"/>
              </w:rPr>
              <w:t>Полупиковая зона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2,41</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2,51</w:t>
            </w:r>
          </w:p>
        </w:tc>
      </w:tr>
      <w:tr w:rsidR="009812FD" w:rsidRPr="008E70AD" w:rsidTr="008D765F">
        <w:trPr>
          <w:trHeight w:val="300"/>
        </w:trPr>
        <w:tc>
          <w:tcPr>
            <w:tcW w:w="710" w:type="dxa"/>
            <w:vMerge/>
            <w:tcBorders>
              <w:top w:val="nil"/>
              <w:left w:val="single" w:sz="4" w:space="0" w:color="auto"/>
              <w:bottom w:val="single" w:sz="4" w:space="0" w:color="000000"/>
              <w:right w:val="single" w:sz="4" w:space="0" w:color="auto"/>
            </w:tcBorders>
            <w:vAlign w:val="center"/>
            <w:hideMark/>
          </w:tcPr>
          <w:p w:rsidR="009812FD" w:rsidRPr="008E70AD" w:rsidRDefault="009812FD" w:rsidP="008D765F">
            <w:pPr>
              <w:rPr>
                <w:color w:val="000000"/>
              </w:rPr>
            </w:pPr>
          </w:p>
        </w:tc>
        <w:tc>
          <w:tcPr>
            <w:tcW w:w="3969" w:type="dxa"/>
            <w:tcBorders>
              <w:top w:val="nil"/>
              <w:left w:val="nil"/>
              <w:bottom w:val="single" w:sz="4" w:space="0" w:color="auto"/>
              <w:right w:val="nil"/>
            </w:tcBorders>
            <w:shd w:val="clear" w:color="auto" w:fill="auto"/>
            <w:noWrap/>
            <w:vAlign w:val="bottom"/>
            <w:hideMark/>
          </w:tcPr>
          <w:p w:rsidR="009812FD" w:rsidRPr="008E70AD" w:rsidRDefault="009812FD" w:rsidP="008D765F">
            <w:pPr>
              <w:rPr>
                <w:color w:val="000000"/>
              </w:rPr>
            </w:pPr>
            <w:r w:rsidRPr="008E70AD">
              <w:rPr>
                <w:color w:val="000000"/>
              </w:rPr>
              <w:t>Ночная зона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1,38</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1,</w:t>
            </w:r>
            <w:r w:rsidR="009F24A2">
              <w:rPr>
                <w:color w:val="000000"/>
              </w:rPr>
              <w:t>79</w:t>
            </w:r>
          </w:p>
        </w:tc>
      </w:tr>
      <w:tr w:rsidR="009812FD" w:rsidRPr="008E70AD" w:rsidTr="0004002E">
        <w:trPr>
          <w:trHeight w:val="65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812FD" w:rsidRPr="008E70AD" w:rsidRDefault="009812FD" w:rsidP="008D765F">
            <w:pPr>
              <w:jc w:val="center"/>
              <w:rPr>
                <w:color w:val="000000"/>
              </w:rPr>
            </w:pPr>
            <w:r w:rsidRPr="008E70AD">
              <w:rPr>
                <w:color w:val="000000"/>
              </w:rPr>
              <w:t>2</w:t>
            </w:r>
            <w:r w:rsidR="0004002E">
              <w:rPr>
                <w:color w:val="000000"/>
              </w:rPr>
              <w:t>.</w:t>
            </w:r>
          </w:p>
        </w:tc>
        <w:tc>
          <w:tcPr>
            <w:tcW w:w="9213" w:type="dxa"/>
            <w:gridSpan w:val="5"/>
            <w:tcBorders>
              <w:top w:val="nil"/>
              <w:left w:val="nil"/>
              <w:bottom w:val="single" w:sz="4" w:space="0" w:color="auto"/>
              <w:right w:val="single" w:sz="4" w:space="0" w:color="auto"/>
            </w:tcBorders>
            <w:shd w:val="clear" w:color="auto" w:fill="auto"/>
            <w:vAlign w:val="center"/>
            <w:hideMark/>
          </w:tcPr>
          <w:p w:rsidR="009812FD" w:rsidRPr="007F75CC" w:rsidRDefault="009812FD" w:rsidP="008D765F">
            <w:pPr>
              <w:rPr>
                <w:color w:val="000000"/>
              </w:rPr>
            </w:pPr>
            <w:r w:rsidRPr="008E70AD">
              <w:rPr>
                <w:color w:val="000000"/>
              </w:rPr>
              <w:t>Население, проживающее в городских населенных пунктах в домах, оборудованных в установленном порядке стационарными электроплитами и (или) э</w:t>
            </w:r>
            <w:r w:rsidR="006C4608">
              <w:rPr>
                <w:color w:val="000000"/>
              </w:rPr>
              <w:t>лектроотопительными установками</w:t>
            </w:r>
            <w:r w:rsidRPr="006F0F4E">
              <w:rPr>
                <w:color w:val="000000"/>
              </w:rPr>
              <w:t>**</w:t>
            </w:r>
          </w:p>
        </w:tc>
      </w:tr>
      <w:tr w:rsidR="009812FD" w:rsidRPr="008E70AD" w:rsidTr="008D765F">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812FD" w:rsidRPr="008E70AD" w:rsidRDefault="009812FD" w:rsidP="008D765F">
            <w:pPr>
              <w:jc w:val="center"/>
              <w:rPr>
                <w:color w:val="000000"/>
              </w:rPr>
            </w:pPr>
            <w:r w:rsidRPr="008E70AD">
              <w:rPr>
                <w:color w:val="000000"/>
              </w:rPr>
              <w:t>2.1</w:t>
            </w:r>
            <w:r w:rsidR="0004002E">
              <w:rPr>
                <w:color w:val="000000"/>
              </w:rPr>
              <w:t>.</w:t>
            </w:r>
          </w:p>
        </w:tc>
        <w:tc>
          <w:tcPr>
            <w:tcW w:w="3969" w:type="dxa"/>
            <w:tcBorders>
              <w:top w:val="nil"/>
              <w:left w:val="nil"/>
              <w:bottom w:val="single" w:sz="4" w:space="0" w:color="auto"/>
              <w:right w:val="nil"/>
            </w:tcBorders>
            <w:shd w:val="clear" w:color="auto" w:fill="auto"/>
            <w:noWrap/>
            <w:vAlign w:val="bottom"/>
            <w:hideMark/>
          </w:tcPr>
          <w:p w:rsidR="009812FD" w:rsidRPr="008E70AD" w:rsidRDefault="009812FD" w:rsidP="008D765F">
            <w:pPr>
              <w:rPr>
                <w:color w:val="000000"/>
              </w:rPr>
            </w:pPr>
            <w:r w:rsidRPr="008E70AD">
              <w:rPr>
                <w:color w:val="000000"/>
              </w:rPr>
              <w:t>Одноставочный тариф</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1,69</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2,01</w:t>
            </w:r>
          </w:p>
        </w:tc>
      </w:tr>
      <w:tr w:rsidR="00C54526" w:rsidRPr="008E70AD" w:rsidTr="008D765F">
        <w:trPr>
          <w:trHeight w:val="300"/>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54526" w:rsidRPr="008E70AD" w:rsidRDefault="00C54526" w:rsidP="008D765F">
            <w:pPr>
              <w:jc w:val="center"/>
              <w:rPr>
                <w:color w:val="000000"/>
              </w:rPr>
            </w:pPr>
            <w:r w:rsidRPr="008E70AD">
              <w:rPr>
                <w:color w:val="000000"/>
              </w:rPr>
              <w:t>2.2</w:t>
            </w:r>
            <w:r w:rsidR="0004002E">
              <w:rPr>
                <w:color w:val="000000"/>
              </w:rPr>
              <w:t>.</w:t>
            </w:r>
          </w:p>
        </w:tc>
        <w:tc>
          <w:tcPr>
            <w:tcW w:w="9213" w:type="dxa"/>
            <w:gridSpan w:val="5"/>
            <w:tcBorders>
              <w:top w:val="nil"/>
              <w:left w:val="nil"/>
              <w:bottom w:val="single" w:sz="4" w:space="0" w:color="auto"/>
              <w:right w:val="single" w:sz="4" w:space="0" w:color="auto"/>
            </w:tcBorders>
            <w:shd w:val="clear" w:color="auto" w:fill="auto"/>
            <w:noWrap/>
            <w:vAlign w:val="bottom"/>
            <w:hideMark/>
          </w:tcPr>
          <w:p w:rsidR="00C54526" w:rsidRPr="008E70AD" w:rsidRDefault="00C54526" w:rsidP="00C54526">
            <w:pPr>
              <w:rPr>
                <w:color w:val="000000"/>
              </w:rPr>
            </w:pPr>
            <w:r>
              <w:rPr>
                <w:color w:val="000000"/>
              </w:rPr>
              <w:t>Одноставочный т</w:t>
            </w:r>
            <w:r w:rsidRPr="008E70AD">
              <w:rPr>
                <w:color w:val="000000"/>
              </w:rPr>
              <w:t>ариф, дифференцированный по двум зонам суток</w:t>
            </w:r>
            <w:r>
              <w:rPr>
                <w:color w:val="000000"/>
              </w:rPr>
              <w:t>*</w:t>
            </w:r>
          </w:p>
        </w:tc>
      </w:tr>
      <w:tr w:rsidR="009812FD" w:rsidRPr="008E70AD" w:rsidTr="008D765F">
        <w:trPr>
          <w:trHeight w:val="300"/>
        </w:trPr>
        <w:tc>
          <w:tcPr>
            <w:tcW w:w="710" w:type="dxa"/>
            <w:vMerge/>
            <w:tcBorders>
              <w:top w:val="nil"/>
              <w:left w:val="single" w:sz="4" w:space="0" w:color="auto"/>
              <w:bottom w:val="single" w:sz="4" w:space="0" w:color="000000"/>
              <w:right w:val="single" w:sz="4" w:space="0" w:color="auto"/>
            </w:tcBorders>
            <w:vAlign w:val="center"/>
            <w:hideMark/>
          </w:tcPr>
          <w:p w:rsidR="009812FD" w:rsidRPr="008E70AD" w:rsidRDefault="009812FD" w:rsidP="008D765F">
            <w:pPr>
              <w:rPr>
                <w:color w:val="000000"/>
              </w:rPr>
            </w:pPr>
          </w:p>
        </w:tc>
        <w:tc>
          <w:tcPr>
            <w:tcW w:w="3969" w:type="dxa"/>
            <w:tcBorders>
              <w:top w:val="nil"/>
              <w:left w:val="nil"/>
              <w:bottom w:val="single" w:sz="4" w:space="0" w:color="auto"/>
              <w:right w:val="nil"/>
            </w:tcBorders>
            <w:shd w:val="clear" w:color="auto" w:fill="auto"/>
            <w:noWrap/>
            <w:vAlign w:val="bottom"/>
            <w:hideMark/>
          </w:tcPr>
          <w:p w:rsidR="009812FD" w:rsidRPr="008E70AD" w:rsidRDefault="00C54526" w:rsidP="008D765F">
            <w:pPr>
              <w:rPr>
                <w:color w:val="000000"/>
              </w:rPr>
            </w:pPr>
            <w:r>
              <w:rPr>
                <w:color w:val="000000"/>
              </w:rPr>
              <w:t>Дневная зона (п</w:t>
            </w:r>
            <w:r w:rsidRPr="008E70AD">
              <w:rPr>
                <w:color w:val="000000"/>
              </w:rPr>
              <w:t xml:space="preserve">иковая </w:t>
            </w:r>
            <w:r>
              <w:rPr>
                <w:color w:val="000000"/>
              </w:rPr>
              <w:t>и полупиковая)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2,00</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2,</w:t>
            </w:r>
            <w:r w:rsidR="009F24A2">
              <w:rPr>
                <w:color w:val="000000"/>
              </w:rPr>
              <w:t>28</w:t>
            </w:r>
          </w:p>
        </w:tc>
      </w:tr>
      <w:tr w:rsidR="009812FD" w:rsidRPr="008E70AD" w:rsidTr="008D765F">
        <w:trPr>
          <w:trHeight w:val="300"/>
        </w:trPr>
        <w:tc>
          <w:tcPr>
            <w:tcW w:w="710" w:type="dxa"/>
            <w:vMerge/>
            <w:tcBorders>
              <w:top w:val="nil"/>
              <w:left w:val="single" w:sz="4" w:space="0" w:color="auto"/>
              <w:bottom w:val="single" w:sz="4" w:space="0" w:color="000000"/>
              <w:right w:val="single" w:sz="4" w:space="0" w:color="auto"/>
            </w:tcBorders>
            <w:vAlign w:val="center"/>
            <w:hideMark/>
          </w:tcPr>
          <w:p w:rsidR="009812FD" w:rsidRPr="008E70AD" w:rsidRDefault="009812FD" w:rsidP="008D765F">
            <w:pPr>
              <w:rPr>
                <w:color w:val="000000"/>
              </w:rPr>
            </w:pPr>
          </w:p>
        </w:tc>
        <w:tc>
          <w:tcPr>
            <w:tcW w:w="3969" w:type="dxa"/>
            <w:tcBorders>
              <w:top w:val="nil"/>
              <w:left w:val="nil"/>
              <w:bottom w:val="single" w:sz="4" w:space="0" w:color="auto"/>
              <w:right w:val="nil"/>
            </w:tcBorders>
            <w:shd w:val="clear" w:color="auto" w:fill="auto"/>
            <w:noWrap/>
            <w:vAlign w:val="bottom"/>
            <w:hideMark/>
          </w:tcPr>
          <w:p w:rsidR="009812FD" w:rsidRPr="008E70AD" w:rsidRDefault="009812FD" w:rsidP="008D765F">
            <w:pPr>
              <w:rPr>
                <w:color w:val="000000"/>
              </w:rPr>
            </w:pPr>
            <w:r w:rsidRPr="008E70AD">
              <w:rPr>
                <w:color w:val="000000"/>
              </w:rPr>
              <w:t>Ночная зона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0,97</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1,</w:t>
            </w:r>
            <w:r w:rsidR="009F24A2">
              <w:rPr>
                <w:color w:val="000000"/>
              </w:rPr>
              <w:t>29</w:t>
            </w:r>
          </w:p>
        </w:tc>
      </w:tr>
      <w:tr w:rsidR="00C54526" w:rsidRPr="008E70AD" w:rsidTr="008D765F">
        <w:trPr>
          <w:trHeight w:val="300"/>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54526" w:rsidRPr="008E70AD" w:rsidRDefault="00C54526" w:rsidP="008D765F">
            <w:pPr>
              <w:jc w:val="center"/>
              <w:rPr>
                <w:color w:val="000000"/>
              </w:rPr>
            </w:pPr>
            <w:r w:rsidRPr="008E70AD">
              <w:rPr>
                <w:color w:val="000000"/>
              </w:rPr>
              <w:t>2.3</w:t>
            </w:r>
            <w:r w:rsidR="0004002E">
              <w:rPr>
                <w:color w:val="000000"/>
              </w:rPr>
              <w:t>.</w:t>
            </w:r>
          </w:p>
        </w:tc>
        <w:tc>
          <w:tcPr>
            <w:tcW w:w="9213" w:type="dxa"/>
            <w:gridSpan w:val="5"/>
            <w:tcBorders>
              <w:top w:val="nil"/>
              <w:left w:val="nil"/>
              <w:bottom w:val="single" w:sz="4" w:space="0" w:color="auto"/>
              <w:right w:val="single" w:sz="4" w:space="0" w:color="auto"/>
            </w:tcBorders>
            <w:shd w:val="clear" w:color="auto" w:fill="auto"/>
            <w:noWrap/>
            <w:vAlign w:val="bottom"/>
            <w:hideMark/>
          </w:tcPr>
          <w:p w:rsidR="00C54526" w:rsidRPr="008E70AD" w:rsidRDefault="00C54526" w:rsidP="00C54526">
            <w:pPr>
              <w:rPr>
                <w:color w:val="000000"/>
              </w:rPr>
            </w:pPr>
            <w:r>
              <w:rPr>
                <w:color w:val="000000"/>
              </w:rPr>
              <w:t>Одноставочный</w:t>
            </w:r>
            <w:r w:rsidRPr="008E70AD">
              <w:rPr>
                <w:color w:val="000000"/>
              </w:rPr>
              <w:t xml:space="preserve"> </w:t>
            </w:r>
            <w:r>
              <w:rPr>
                <w:color w:val="000000"/>
              </w:rPr>
              <w:t>т</w:t>
            </w:r>
            <w:r w:rsidRPr="008E70AD">
              <w:rPr>
                <w:color w:val="000000"/>
              </w:rPr>
              <w:t>ариф, дифференцированный по трем зонам суток</w:t>
            </w:r>
            <w:r>
              <w:rPr>
                <w:color w:val="000000"/>
              </w:rPr>
              <w:t>*</w:t>
            </w:r>
          </w:p>
        </w:tc>
      </w:tr>
      <w:tr w:rsidR="009812FD" w:rsidRPr="008E70AD" w:rsidTr="008D765F">
        <w:trPr>
          <w:trHeight w:val="300"/>
        </w:trPr>
        <w:tc>
          <w:tcPr>
            <w:tcW w:w="710" w:type="dxa"/>
            <w:vMerge/>
            <w:tcBorders>
              <w:top w:val="nil"/>
              <w:left w:val="single" w:sz="4" w:space="0" w:color="auto"/>
              <w:bottom w:val="single" w:sz="4" w:space="0" w:color="000000"/>
              <w:right w:val="single" w:sz="4" w:space="0" w:color="auto"/>
            </w:tcBorders>
            <w:vAlign w:val="center"/>
            <w:hideMark/>
          </w:tcPr>
          <w:p w:rsidR="009812FD" w:rsidRPr="008E70AD" w:rsidRDefault="009812FD" w:rsidP="008D765F">
            <w:pPr>
              <w:rPr>
                <w:color w:val="000000"/>
              </w:rPr>
            </w:pPr>
          </w:p>
        </w:tc>
        <w:tc>
          <w:tcPr>
            <w:tcW w:w="3969" w:type="dxa"/>
            <w:tcBorders>
              <w:top w:val="nil"/>
              <w:left w:val="nil"/>
              <w:bottom w:val="single" w:sz="4" w:space="0" w:color="auto"/>
              <w:right w:val="nil"/>
            </w:tcBorders>
            <w:shd w:val="clear" w:color="auto" w:fill="auto"/>
            <w:noWrap/>
            <w:vAlign w:val="bottom"/>
            <w:hideMark/>
          </w:tcPr>
          <w:p w:rsidR="009812FD" w:rsidRPr="008E70AD" w:rsidRDefault="009812FD" w:rsidP="008D765F">
            <w:pPr>
              <w:rPr>
                <w:color w:val="000000"/>
              </w:rPr>
            </w:pPr>
            <w:r w:rsidRPr="008E70AD">
              <w:rPr>
                <w:color w:val="000000"/>
              </w:rPr>
              <w:t>Пиковая зона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2,47</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2,</w:t>
            </w:r>
            <w:r w:rsidR="009F24A2">
              <w:rPr>
                <w:color w:val="000000"/>
              </w:rPr>
              <w:t>65</w:t>
            </w:r>
          </w:p>
        </w:tc>
      </w:tr>
      <w:tr w:rsidR="009812FD" w:rsidRPr="008E70AD" w:rsidTr="008D765F">
        <w:trPr>
          <w:trHeight w:val="300"/>
        </w:trPr>
        <w:tc>
          <w:tcPr>
            <w:tcW w:w="710" w:type="dxa"/>
            <w:vMerge/>
            <w:tcBorders>
              <w:top w:val="nil"/>
              <w:left w:val="single" w:sz="4" w:space="0" w:color="auto"/>
              <w:bottom w:val="single" w:sz="4" w:space="0" w:color="000000"/>
              <w:right w:val="single" w:sz="4" w:space="0" w:color="auto"/>
            </w:tcBorders>
            <w:vAlign w:val="center"/>
            <w:hideMark/>
          </w:tcPr>
          <w:p w:rsidR="009812FD" w:rsidRPr="008E70AD" w:rsidRDefault="009812FD" w:rsidP="008D765F">
            <w:pPr>
              <w:rPr>
                <w:color w:val="000000"/>
              </w:rPr>
            </w:pPr>
          </w:p>
        </w:tc>
        <w:tc>
          <w:tcPr>
            <w:tcW w:w="3969" w:type="dxa"/>
            <w:tcBorders>
              <w:top w:val="nil"/>
              <w:left w:val="nil"/>
              <w:bottom w:val="single" w:sz="4" w:space="0" w:color="auto"/>
              <w:right w:val="nil"/>
            </w:tcBorders>
            <w:shd w:val="clear" w:color="auto" w:fill="auto"/>
            <w:noWrap/>
            <w:vAlign w:val="bottom"/>
            <w:hideMark/>
          </w:tcPr>
          <w:p w:rsidR="009812FD" w:rsidRPr="008E70AD" w:rsidRDefault="009812FD" w:rsidP="008D765F">
            <w:pPr>
              <w:rPr>
                <w:color w:val="000000"/>
              </w:rPr>
            </w:pPr>
            <w:r w:rsidRPr="008E70AD">
              <w:rPr>
                <w:color w:val="000000"/>
              </w:rPr>
              <w:t>Полупиковая зона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1,69</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2,01</w:t>
            </w:r>
          </w:p>
        </w:tc>
      </w:tr>
      <w:tr w:rsidR="009812FD" w:rsidRPr="008E70AD" w:rsidTr="008D765F">
        <w:trPr>
          <w:trHeight w:val="300"/>
        </w:trPr>
        <w:tc>
          <w:tcPr>
            <w:tcW w:w="710" w:type="dxa"/>
            <w:vMerge/>
            <w:tcBorders>
              <w:top w:val="nil"/>
              <w:left w:val="single" w:sz="4" w:space="0" w:color="auto"/>
              <w:bottom w:val="single" w:sz="4" w:space="0" w:color="000000"/>
              <w:right w:val="single" w:sz="4" w:space="0" w:color="auto"/>
            </w:tcBorders>
            <w:vAlign w:val="center"/>
            <w:hideMark/>
          </w:tcPr>
          <w:p w:rsidR="009812FD" w:rsidRPr="008E70AD" w:rsidRDefault="009812FD" w:rsidP="008D765F">
            <w:pPr>
              <w:rPr>
                <w:color w:val="000000"/>
              </w:rPr>
            </w:pPr>
          </w:p>
        </w:tc>
        <w:tc>
          <w:tcPr>
            <w:tcW w:w="3969" w:type="dxa"/>
            <w:tcBorders>
              <w:top w:val="nil"/>
              <w:left w:val="nil"/>
              <w:bottom w:val="single" w:sz="4" w:space="0" w:color="auto"/>
              <w:right w:val="nil"/>
            </w:tcBorders>
            <w:shd w:val="clear" w:color="auto" w:fill="auto"/>
            <w:noWrap/>
            <w:vAlign w:val="bottom"/>
            <w:hideMark/>
          </w:tcPr>
          <w:p w:rsidR="009812FD" w:rsidRPr="008E70AD" w:rsidRDefault="009812FD" w:rsidP="008D765F">
            <w:pPr>
              <w:rPr>
                <w:color w:val="000000"/>
              </w:rPr>
            </w:pPr>
            <w:r w:rsidRPr="008E70AD">
              <w:rPr>
                <w:color w:val="000000"/>
              </w:rPr>
              <w:t>Ночная зона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0,97</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1,</w:t>
            </w:r>
            <w:r w:rsidR="009F24A2">
              <w:rPr>
                <w:color w:val="000000"/>
              </w:rPr>
              <w:t>29</w:t>
            </w:r>
          </w:p>
        </w:tc>
      </w:tr>
      <w:tr w:rsidR="00C54526" w:rsidRPr="008E70AD" w:rsidTr="008D765F">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C54526" w:rsidRPr="008E70AD" w:rsidRDefault="00C54526" w:rsidP="008D765F">
            <w:pPr>
              <w:jc w:val="center"/>
              <w:rPr>
                <w:color w:val="000000"/>
              </w:rPr>
            </w:pPr>
            <w:r w:rsidRPr="008E70AD">
              <w:rPr>
                <w:color w:val="000000"/>
              </w:rPr>
              <w:t>3</w:t>
            </w:r>
            <w:r w:rsidR="0004002E">
              <w:rPr>
                <w:color w:val="000000"/>
              </w:rPr>
              <w:t>.</w:t>
            </w:r>
          </w:p>
        </w:tc>
        <w:tc>
          <w:tcPr>
            <w:tcW w:w="9213" w:type="dxa"/>
            <w:gridSpan w:val="5"/>
            <w:tcBorders>
              <w:top w:val="nil"/>
              <w:left w:val="nil"/>
              <w:bottom w:val="single" w:sz="4" w:space="0" w:color="auto"/>
              <w:right w:val="single" w:sz="4" w:space="0" w:color="auto"/>
            </w:tcBorders>
            <w:shd w:val="clear" w:color="auto" w:fill="auto"/>
            <w:noWrap/>
            <w:vAlign w:val="bottom"/>
            <w:hideMark/>
          </w:tcPr>
          <w:p w:rsidR="00C54526" w:rsidRPr="008E70AD" w:rsidRDefault="00C54526" w:rsidP="00C54526">
            <w:pPr>
              <w:rPr>
                <w:color w:val="000000"/>
              </w:rPr>
            </w:pPr>
            <w:r w:rsidRPr="008E70AD">
              <w:rPr>
                <w:color w:val="000000"/>
              </w:rPr>
              <w:t>Население, проживающее в сельских населенных пунктах</w:t>
            </w:r>
            <w:r w:rsidR="006C4608">
              <w:rPr>
                <w:color w:val="000000"/>
              </w:rPr>
              <w:t>**</w:t>
            </w:r>
          </w:p>
        </w:tc>
      </w:tr>
      <w:tr w:rsidR="009812FD" w:rsidRPr="008E70AD" w:rsidTr="008D765F">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812FD" w:rsidRPr="008E70AD" w:rsidRDefault="009812FD" w:rsidP="008D765F">
            <w:pPr>
              <w:jc w:val="center"/>
              <w:rPr>
                <w:color w:val="000000"/>
              </w:rPr>
            </w:pPr>
            <w:r w:rsidRPr="008E70AD">
              <w:rPr>
                <w:color w:val="000000"/>
              </w:rPr>
              <w:t>3.1</w:t>
            </w:r>
          </w:p>
        </w:tc>
        <w:tc>
          <w:tcPr>
            <w:tcW w:w="3969" w:type="dxa"/>
            <w:tcBorders>
              <w:top w:val="nil"/>
              <w:left w:val="nil"/>
              <w:bottom w:val="single" w:sz="4" w:space="0" w:color="auto"/>
              <w:right w:val="nil"/>
            </w:tcBorders>
            <w:shd w:val="clear" w:color="auto" w:fill="auto"/>
            <w:noWrap/>
            <w:vAlign w:val="bottom"/>
            <w:hideMark/>
          </w:tcPr>
          <w:p w:rsidR="009812FD" w:rsidRPr="008E70AD" w:rsidRDefault="009812FD" w:rsidP="008D765F">
            <w:pPr>
              <w:rPr>
                <w:color w:val="000000"/>
              </w:rPr>
            </w:pPr>
            <w:r w:rsidRPr="008E70AD">
              <w:rPr>
                <w:color w:val="000000"/>
              </w:rPr>
              <w:t>Одноставочный тариф</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1,69</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2,01</w:t>
            </w:r>
          </w:p>
        </w:tc>
      </w:tr>
      <w:tr w:rsidR="00C54526" w:rsidRPr="008E70AD" w:rsidTr="008D765F">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4526" w:rsidRPr="008E70AD" w:rsidRDefault="00C54526" w:rsidP="008D765F">
            <w:pPr>
              <w:jc w:val="center"/>
              <w:rPr>
                <w:color w:val="000000"/>
              </w:rPr>
            </w:pPr>
            <w:r w:rsidRPr="008E70AD">
              <w:rPr>
                <w:color w:val="000000"/>
              </w:rPr>
              <w:t>3.2</w:t>
            </w:r>
            <w:r w:rsidR="0004002E">
              <w:rPr>
                <w:color w:val="000000"/>
              </w:rPr>
              <w:t>.</w:t>
            </w:r>
          </w:p>
        </w:tc>
        <w:tc>
          <w:tcPr>
            <w:tcW w:w="9213" w:type="dxa"/>
            <w:gridSpan w:val="5"/>
            <w:tcBorders>
              <w:top w:val="nil"/>
              <w:left w:val="nil"/>
              <w:bottom w:val="single" w:sz="4" w:space="0" w:color="auto"/>
              <w:right w:val="single" w:sz="4" w:space="0" w:color="auto"/>
            </w:tcBorders>
            <w:shd w:val="clear" w:color="auto" w:fill="auto"/>
            <w:noWrap/>
            <w:vAlign w:val="bottom"/>
            <w:hideMark/>
          </w:tcPr>
          <w:p w:rsidR="00C54526" w:rsidRPr="008E70AD" w:rsidRDefault="00C54526" w:rsidP="00C54526">
            <w:pPr>
              <w:rPr>
                <w:color w:val="000000"/>
              </w:rPr>
            </w:pPr>
            <w:r w:rsidRPr="008E70AD">
              <w:rPr>
                <w:color w:val="000000"/>
              </w:rPr>
              <w:t xml:space="preserve">Одноставочный </w:t>
            </w:r>
            <w:r>
              <w:rPr>
                <w:color w:val="000000"/>
              </w:rPr>
              <w:t>т</w:t>
            </w:r>
            <w:r w:rsidRPr="008E70AD">
              <w:rPr>
                <w:color w:val="000000"/>
              </w:rPr>
              <w:t>ариф, диффер</w:t>
            </w:r>
            <w:r w:rsidR="006C4608">
              <w:rPr>
                <w:color w:val="000000"/>
              </w:rPr>
              <w:t>енцированный по двум зонам суток</w:t>
            </w:r>
            <w:r>
              <w:rPr>
                <w:color w:val="000000"/>
              </w:rPr>
              <w:t>*</w:t>
            </w:r>
          </w:p>
        </w:tc>
      </w:tr>
      <w:tr w:rsidR="009812FD" w:rsidRPr="008E70AD" w:rsidTr="008D765F">
        <w:trPr>
          <w:trHeight w:val="300"/>
        </w:trPr>
        <w:tc>
          <w:tcPr>
            <w:tcW w:w="710" w:type="dxa"/>
            <w:vMerge/>
            <w:tcBorders>
              <w:top w:val="nil"/>
              <w:left w:val="single" w:sz="4" w:space="0" w:color="auto"/>
              <w:bottom w:val="single" w:sz="4" w:space="0" w:color="auto"/>
              <w:right w:val="single" w:sz="4" w:space="0" w:color="auto"/>
            </w:tcBorders>
            <w:vAlign w:val="center"/>
            <w:hideMark/>
          </w:tcPr>
          <w:p w:rsidR="009812FD" w:rsidRPr="008E70AD" w:rsidRDefault="009812FD" w:rsidP="008D765F">
            <w:pPr>
              <w:rPr>
                <w:color w:val="000000"/>
              </w:rPr>
            </w:pPr>
          </w:p>
        </w:tc>
        <w:tc>
          <w:tcPr>
            <w:tcW w:w="3969" w:type="dxa"/>
            <w:tcBorders>
              <w:top w:val="nil"/>
              <w:left w:val="nil"/>
              <w:bottom w:val="single" w:sz="4" w:space="0" w:color="auto"/>
              <w:right w:val="nil"/>
            </w:tcBorders>
            <w:shd w:val="clear" w:color="auto" w:fill="auto"/>
            <w:noWrap/>
            <w:vAlign w:val="bottom"/>
            <w:hideMark/>
          </w:tcPr>
          <w:p w:rsidR="009812FD" w:rsidRPr="008E70AD" w:rsidRDefault="00C54526" w:rsidP="008D765F">
            <w:pPr>
              <w:rPr>
                <w:color w:val="000000"/>
              </w:rPr>
            </w:pPr>
            <w:r>
              <w:rPr>
                <w:color w:val="000000"/>
              </w:rPr>
              <w:t>Дневная зона (п</w:t>
            </w:r>
            <w:r w:rsidRPr="008E70AD">
              <w:rPr>
                <w:color w:val="000000"/>
              </w:rPr>
              <w:t xml:space="preserve">иковая </w:t>
            </w:r>
            <w:r>
              <w:rPr>
                <w:color w:val="000000"/>
              </w:rPr>
              <w:t>и полупиковая)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2,00</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2,</w:t>
            </w:r>
            <w:r w:rsidR="009F24A2">
              <w:rPr>
                <w:color w:val="000000"/>
              </w:rPr>
              <w:t>28</w:t>
            </w:r>
          </w:p>
        </w:tc>
      </w:tr>
      <w:tr w:rsidR="009812FD" w:rsidRPr="008E70AD" w:rsidTr="008D765F">
        <w:trPr>
          <w:trHeight w:val="300"/>
        </w:trPr>
        <w:tc>
          <w:tcPr>
            <w:tcW w:w="710" w:type="dxa"/>
            <w:vMerge/>
            <w:tcBorders>
              <w:top w:val="nil"/>
              <w:left w:val="single" w:sz="4" w:space="0" w:color="auto"/>
              <w:bottom w:val="single" w:sz="4" w:space="0" w:color="auto"/>
              <w:right w:val="single" w:sz="4" w:space="0" w:color="auto"/>
            </w:tcBorders>
            <w:vAlign w:val="center"/>
            <w:hideMark/>
          </w:tcPr>
          <w:p w:rsidR="009812FD" w:rsidRPr="008E70AD" w:rsidRDefault="009812FD" w:rsidP="008D765F">
            <w:pPr>
              <w:rPr>
                <w:color w:val="000000"/>
              </w:rPr>
            </w:pPr>
          </w:p>
        </w:tc>
        <w:tc>
          <w:tcPr>
            <w:tcW w:w="3969" w:type="dxa"/>
            <w:tcBorders>
              <w:top w:val="nil"/>
              <w:left w:val="nil"/>
              <w:bottom w:val="single" w:sz="4" w:space="0" w:color="auto"/>
              <w:right w:val="nil"/>
            </w:tcBorders>
            <w:shd w:val="clear" w:color="auto" w:fill="auto"/>
            <w:noWrap/>
            <w:vAlign w:val="bottom"/>
            <w:hideMark/>
          </w:tcPr>
          <w:p w:rsidR="009812FD" w:rsidRPr="008E70AD" w:rsidRDefault="009812FD" w:rsidP="008D765F">
            <w:pPr>
              <w:rPr>
                <w:color w:val="000000"/>
              </w:rPr>
            </w:pPr>
            <w:r w:rsidRPr="008E70AD">
              <w:rPr>
                <w:color w:val="000000"/>
              </w:rPr>
              <w:t>Ночная зона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0,97</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1,</w:t>
            </w:r>
            <w:r w:rsidR="009F24A2">
              <w:rPr>
                <w:color w:val="000000"/>
              </w:rPr>
              <w:t>29</w:t>
            </w:r>
          </w:p>
        </w:tc>
      </w:tr>
      <w:tr w:rsidR="00C54526" w:rsidRPr="008E70AD" w:rsidTr="008D765F">
        <w:trPr>
          <w:trHeight w:val="300"/>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54526" w:rsidRPr="008E70AD" w:rsidRDefault="00C54526" w:rsidP="008D765F">
            <w:pPr>
              <w:jc w:val="center"/>
              <w:rPr>
                <w:color w:val="000000"/>
              </w:rPr>
            </w:pPr>
            <w:r w:rsidRPr="008E70AD">
              <w:rPr>
                <w:color w:val="000000"/>
              </w:rPr>
              <w:t>3.3</w:t>
            </w:r>
            <w:r>
              <w:rPr>
                <w:color w:val="000000"/>
              </w:rPr>
              <w:t>.</w:t>
            </w:r>
          </w:p>
        </w:tc>
        <w:tc>
          <w:tcPr>
            <w:tcW w:w="9213" w:type="dxa"/>
            <w:gridSpan w:val="5"/>
            <w:tcBorders>
              <w:top w:val="nil"/>
              <w:left w:val="nil"/>
              <w:bottom w:val="single" w:sz="4" w:space="0" w:color="auto"/>
              <w:right w:val="single" w:sz="4" w:space="0" w:color="auto"/>
            </w:tcBorders>
            <w:shd w:val="clear" w:color="auto" w:fill="auto"/>
            <w:noWrap/>
            <w:vAlign w:val="bottom"/>
            <w:hideMark/>
          </w:tcPr>
          <w:p w:rsidR="00C54526" w:rsidRPr="008E70AD" w:rsidRDefault="00C54526" w:rsidP="00C54526">
            <w:pPr>
              <w:rPr>
                <w:color w:val="000000"/>
              </w:rPr>
            </w:pPr>
            <w:r w:rsidRPr="008E70AD">
              <w:rPr>
                <w:color w:val="000000"/>
              </w:rPr>
              <w:t xml:space="preserve">Одноставочный </w:t>
            </w:r>
            <w:r>
              <w:rPr>
                <w:color w:val="000000"/>
              </w:rPr>
              <w:t>т</w:t>
            </w:r>
            <w:r w:rsidRPr="008E70AD">
              <w:rPr>
                <w:color w:val="000000"/>
              </w:rPr>
              <w:t>ариф, дифференцированный по трем зонам суток</w:t>
            </w:r>
            <w:r w:rsidR="006C4608">
              <w:rPr>
                <w:color w:val="000000"/>
              </w:rPr>
              <w:t>*</w:t>
            </w:r>
          </w:p>
        </w:tc>
      </w:tr>
      <w:tr w:rsidR="009812FD" w:rsidRPr="008E70AD" w:rsidTr="008D765F">
        <w:trPr>
          <w:trHeight w:val="300"/>
        </w:trPr>
        <w:tc>
          <w:tcPr>
            <w:tcW w:w="710" w:type="dxa"/>
            <w:vMerge/>
            <w:tcBorders>
              <w:top w:val="nil"/>
              <w:left w:val="single" w:sz="4" w:space="0" w:color="auto"/>
              <w:bottom w:val="single" w:sz="4" w:space="0" w:color="000000"/>
              <w:right w:val="single" w:sz="4" w:space="0" w:color="auto"/>
            </w:tcBorders>
            <w:vAlign w:val="center"/>
            <w:hideMark/>
          </w:tcPr>
          <w:p w:rsidR="009812FD" w:rsidRPr="008E70AD" w:rsidRDefault="009812FD" w:rsidP="008D765F">
            <w:pPr>
              <w:rPr>
                <w:color w:val="000000"/>
              </w:rPr>
            </w:pPr>
          </w:p>
        </w:tc>
        <w:tc>
          <w:tcPr>
            <w:tcW w:w="3969" w:type="dxa"/>
            <w:tcBorders>
              <w:top w:val="nil"/>
              <w:left w:val="nil"/>
              <w:bottom w:val="single" w:sz="4" w:space="0" w:color="auto"/>
              <w:right w:val="nil"/>
            </w:tcBorders>
            <w:shd w:val="clear" w:color="auto" w:fill="auto"/>
            <w:noWrap/>
            <w:vAlign w:val="bottom"/>
            <w:hideMark/>
          </w:tcPr>
          <w:p w:rsidR="009812FD" w:rsidRPr="008E70AD" w:rsidRDefault="00C54526" w:rsidP="008D765F">
            <w:pPr>
              <w:rPr>
                <w:color w:val="000000"/>
              </w:rPr>
            </w:pPr>
            <w:r w:rsidRPr="008E70AD">
              <w:rPr>
                <w:color w:val="000000"/>
              </w:rPr>
              <w:t>Пиковая зона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2,47</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2,</w:t>
            </w:r>
            <w:r w:rsidR="009F24A2">
              <w:rPr>
                <w:color w:val="000000"/>
              </w:rPr>
              <w:t>65</w:t>
            </w:r>
          </w:p>
        </w:tc>
      </w:tr>
      <w:tr w:rsidR="009812FD" w:rsidRPr="008E70AD" w:rsidTr="008D765F">
        <w:trPr>
          <w:trHeight w:val="300"/>
        </w:trPr>
        <w:tc>
          <w:tcPr>
            <w:tcW w:w="710" w:type="dxa"/>
            <w:vMerge/>
            <w:tcBorders>
              <w:top w:val="nil"/>
              <w:left w:val="single" w:sz="4" w:space="0" w:color="auto"/>
              <w:bottom w:val="single" w:sz="4" w:space="0" w:color="000000"/>
              <w:right w:val="single" w:sz="4" w:space="0" w:color="auto"/>
            </w:tcBorders>
            <w:vAlign w:val="center"/>
            <w:hideMark/>
          </w:tcPr>
          <w:p w:rsidR="009812FD" w:rsidRPr="008E70AD" w:rsidRDefault="009812FD" w:rsidP="008D765F">
            <w:pPr>
              <w:rPr>
                <w:color w:val="000000"/>
              </w:rPr>
            </w:pPr>
          </w:p>
        </w:tc>
        <w:tc>
          <w:tcPr>
            <w:tcW w:w="3969" w:type="dxa"/>
            <w:tcBorders>
              <w:top w:val="nil"/>
              <w:left w:val="nil"/>
              <w:bottom w:val="single" w:sz="4" w:space="0" w:color="auto"/>
              <w:right w:val="nil"/>
            </w:tcBorders>
            <w:shd w:val="clear" w:color="auto" w:fill="auto"/>
            <w:noWrap/>
            <w:vAlign w:val="bottom"/>
            <w:hideMark/>
          </w:tcPr>
          <w:p w:rsidR="009812FD" w:rsidRPr="008E70AD" w:rsidRDefault="009812FD" w:rsidP="008D765F">
            <w:pPr>
              <w:rPr>
                <w:color w:val="000000"/>
              </w:rPr>
            </w:pPr>
            <w:r w:rsidRPr="008E70AD">
              <w:rPr>
                <w:color w:val="000000"/>
              </w:rPr>
              <w:t>Полупиковая зона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C54526" w:rsidP="008D765F">
            <w:pP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1,69</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2,01</w:t>
            </w:r>
          </w:p>
        </w:tc>
      </w:tr>
      <w:tr w:rsidR="009812FD" w:rsidRPr="008E70AD" w:rsidTr="008D765F">
        <w:trPr>
          <w:trHeight w:val="300"/>
        </w:trPr>
        <w:tc>
          <w:tcPr>
            <w:tcW w:w="710" w:type="dxa"/>
            <w:vMerge/>
            <w:tcBorders>
              <w:top w:val="nil"/>
              <w:left w:val="single" w:sz="4" w:space="0" w:color="auto"/>
              <w:bottom w:val="single" w:sz="4" w:space="0" w:color="000000"/>
              <w:right w:val="single" w:sz="4" w:space="0" w:color="auto"/>
            </w:tcBorders>
            <w:vAlign w:val="center"/>
            <w:hideMark/>
          </w:tcPr>
          <w:p w:rsidR="009812FD" w:rsidRPr="008E70AD" w:rsidRDefault="009812FD" w:rsidP="008D765F">
            <w:pPr>
              <w:rPr>
                <w:color w:val="000000"/>
              </w:rPr>
            </w:pPr>
          </w:p>
        </w:tc>
        <w:tc>
          <w:tcPr>
            <w:tcW w:w="3969" w:type="dxa"/>
            <w:tcBorders>
              <w:top w:val="nil"/>
              <w:left w:val="nil"/>
              <w:bottom w:val="single" w:sz="4" w:space="0" w:color="auto"/>
              <w:right w:val="nil"/>
            </w:tcBorders>
            <w:shd w:val="clear" w:color="auto" w:fill="auto"/>
            <w:noWrap/>
            <w:vAlign w:val="bottom"/>
            <w:hideMark/>
          </w:tcPr>
          <w:p w:rsidR="009812FD" w:rsidRPr="008E70AD" w:rsidRDefault="009812FD" w:rsidP="008D765F">
            <w:pPr>
              <w:rPr>
                <w:color w:val="000000"/>
              </w:rPr>
            </w:pPr>
            <w:r w:rsidRPr="008E70AD">
              <w:rPr>
                <w:color w:val="000000"/>
              </w:rPr>
              <w:t>Ночная зона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0,97</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1,</w:t>
            </w:r>
            <w:r w:rsidR="009F24A2">
              <w:rPr>
                <w:color w:val="000000"/>
              </w:rPr>
              <w:t>29</w:t>
            </w:r>
          </w:p>
        </w:tc>
      </w:tr>
      <w:tr w:rsidR="00C54526" w:rsidRPr="008E70AD" w:rsidTr="008D765F">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C54526" w:rsidRPr="008E70AD" w:rsidRDefault="00C54526" w:rsidP="008D765F">
            <w:pPr>
              <w:jc w:val="center"/>
              <w:rPr>
                <w:color w:val="000000"/>
              </w:rPr>
            </w:pPr>
            <w:r>
              <w:rPr>
                <w:color w:val="000000"/>
              </w:rPr>
              <w:t>4.</w:t>
            </w:r>
          </w:p>
        </w:tc>
        <w:tc>
          <w:tcPr>
            <w:tcW w:w="9213" w:type="dxa"/>
            <w:gridSpan w:val="5"/>
            <w:tcBorders>
              <w:top w:val="nil"/>
              <w:left w:val="nil"/>
              <w:bottom w:val="single" w:sz="4" w:space="0" w:color="auto"/>
              <w:right w:val="single" w:sz="4" w:space="0" w:color="auto"/>
            </w:tcBorders>
            <w:shd w:val="clear" w:color="auto" w:fill="auto"/>
            <w:noWrap/>
            <w:vAlign w:val="bottom"/>
            <w:hideMark/>
          </w:tcPr>
          <w:p w:rsidR="00C54526" w:rsidRPr="008E70AD" w:rsidRDefault="00C54526" w:rsidP="00C54526">
            <w:pPr>
              <w:rPr>
                <w:color w:val="000000"/>
              </w:rPr>
            </w:pPr>
            <w:r w:rsidRPr="008E70AD">
              <w:rPr>
                <w:color w:val="000000"/>
              </w:rPr>
              <w:t>Потребители, приравненные к населению (</w:t>
            </w:r>
            <w:r>
              <w:rPr>
                <w:color w:val="000000"/>
              </w:rPr>
              <w:t xml:space="preserve">тарифы указываются </w:t>
            </w:r>
            <w:r w:rsidRPr="008E70AD">
              <w:rPr>
                <w:color w:val="000000"/>
              </w:rPr>
              <w:t>с учетом НДС)</w:t>
            </w:r>
            <w:r w:rsidRPr="006C4608">
              <w:rPr>
                <w:color w:val="000000"/>
              </w:rPr>
              <w:t>***</w:t>
            </w:r>
          </w:p>
        </w:tc>
      </w:tr>
      <w:tr w:rsidR="009812FD" w:rsidRPr="008E70AD" w:rsidTr="008D765F">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812FD" w:rsidRPr="008E70AD" w:rsidRDefault="00C54526" w:rsidP="008D765F">
            <w:pPr>
              <w:jc w:val="center"/>
              <w:rPr>
                <w:color w:val="000000"/>
              </w:rPr>
            </w:pPr>
            <w:r>
              <w:rPr>
                <w:color w:val="000000"/>
              </w:rPr>
              <w:t>4</w:t>
            </w:r>
            <w:r w:rsidR="009812FD" w:rsidRPr="008E70AD">
              <w:rPr>
                <w:color w:val="000000"/>
              </w:rPr>
              <w:t>.1</w:t>
            </w:r>
            <w:r>
              <w:rPr>
                <w:color w:val="000000"/>
              </w:rPr>
              <w:t>.</w:t>
            </w:r>
          </w:p>
        </w:tc>
        <w:tc>
          <w:tcPr>
            <w:tcW w:w="3969" w:type="dxa"/>
            <w:tcBorders>
              <w:top w:val="nil"/>
              <w:left w:val="nil"/>
              <w:bottom w:val="single" w:sz="4" w:space="0" w:color="auto"/>
              <w:right w:val="nil"/>
            </w:tcBorders>
            <w:shd w:val="clear" w:color="auto" w:fill="auto"/>
            <w:noWrap/>
            <w:vAlign w:val="bottom"/>
            <w:hideMark/>
          </w:tcPr>
          <w:p w:rsidR="009812FD" w:rsidRPr="008E70AD" w:rsidRDefault="009812FD" w:rsidP="008D765F">
            <w:pPr>
              <w:rPr>
                <w:color w:val="000000"/>
              </w:rPr>
            </w:pPr>
            <w:r w:rsidRPr="008E70AD">
              <w:rPr>
                <w:color w:val="000000"/>
              </w:rPr>
              <w:t>Одноставочный тариф</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2,41</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AA12DF" w:rsidRDefault="009812FD" w:rsidP="008D765F">
            <w:pPr>
              <w:jc w:val="center"/>
              <w:rPr>
                <w:color w:val="000000"/>
              </w:rPr>
            </w:pPr>
            <w:r w:rsidRPr="00AA12DF">
              <w:rPr>
                <w:color w:val="000000"/>
              </w:rPr>
              <w:t>2,51</w:t>
            </w:r>
          </w:p>
        </w:tc>
      </w:tr>
      <w:tr w:rsidR="0004002E" w:rsidRPr="008E70AD" w:rsidTr="008D765F">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002E" w:rsidRPr="008E70AD" w:rsidRDefault="0004002E" w:rsidP="008D765F">
            <w:pPr>
              <w:jc w:val="center"/>
              <w:rPr>
                <w:color w:val="000000"/>
              </w:rPr>
            </w:pPr>
            <w:r>
              <w:rPr>
                <w:color w:val="000000"/>
              </w:rPr>
              <w:t>4</w:t>
            </w:r>
            <w:r w:rsidRPr="008E70AD">
              <w:rPr>
                <w:color w:val="000000"/>
              </w:rPr>
              <w:t>.2</w:t>
            </w:r>
            <w:r>
              <w:rPr>
                <w:color w:val="000000"/>
              </w:rPr>
              <w:t>.</w:t>
            </w:r>
          </w:p>
        </w:tc>
        <w:tc>
          <w:tcPr>
            <w:tcW w:w="9213" w:type="dxa"/>
            <w:gridSpan w:val="5"/>
            <w:tcBorders>
              <w:top w:val="nil"/>
              <w:left w:val="nil"/>
              <w:bottom w:val="single" w:sz="4" w:space="0" w:color="auto"/>
              <w:right w:val="single" w:sz="4" w:space="0" w:color="auto"/>
            </w:tcBorders>
            <w:shd w:val="clear" w:color="auto" w:fill="auto"/>
            <w:noWrap/>
            <w:vAlign w:val="bottom"/>
            <w:hideMark/>
          </w:tcPr>
          <w:p w:rsidR="0004002E" w:rsidRPr="00AA12DF" w:rsidRDefault="0004002E" w:rsidP="0004002E">
            <w:pPr>
              <w:rPr>
                <w:color w:val="000000"/>
              </w:rPr>
            </w:pPr>
            <w:r>
              <w:rPr>
                <w:color w:val="000000"/>
              </w:rPr>
              <w:t>Одноставочный т</w:t>
            </w:r>
            <w:r w:rsidRPr="008E70AD">
              <w:rPr>
                <w:color w:val="000000"/>
              </w:rPr>
              <w:t>ариф, дифференцированный по двум зонам суток</w:t>
            </w:r>
            <w:r>
              <w:rPr>
                <w:color w:val="000000"/>
              </w:rPr>
              <w:t>*</w:t>
            </w:r>
          </w:p>
        </w:tc>
      </w:tr>
      <w:tr w:rsidR="009812FD" w:rsidRPr="008E70AD" w:rsidTr="008D765F">
        <w:trPr>
          <w:trHeight w:val="300"/>
        </w:trPr>
        <w:tc>
          <w:tcPr>
            <w:tcW w:w="710" w:type="dxa"/>
            <w:vMerge/>
            <w:tcBorders>
              <w:top w:val="nil"/>
              <w:left w:val="single" w:sz="4" w:space="0" w:color="auto"/>
              <w:bottom w:val="single" w:sz="4" w:space="0" w:color="auto"/>
              <w:right w:val="single" w:sz="4" w:space="0" w:color="auto"/>
            </w:tcBorders>
            <w:vAlign w:val="center"/>
            <w:hideMark/>
          </w:tcPr>
          <w:p w:rsidR="009812FD" w:rsidRPr="008E70AD" w:rsidRDefault="009812FD" w:rsidP="008D765F">
            <w:pPr>
              <w:rPr>
                <w:color w:val="000000"/>
              </w:rPr>
            </w:pPr>
          </w:p>
        </w:tc>
        <w:tc>
          <w:tcPr>
            <w:tcW w:w="3969" w:type="dxa"/>
            <w:tcBorders>
              <w:top w:val="nil"/>
              <w:left w:val="nil"/>
              <w:bottom w:val="single" w:sz="4" w:space="0" w:color="auto"/>
              <w:right w:val="nil"/>
            </w:tcBorders>
            <w:shd w:val="clear" w:color="auto" w:fill="auto"/>
            <w:noWrap/>
            <w:vAlign w:val="bottom"/>
            <w:hideMark/>
          </w:tcPr>
          <w:p w:rsidR="009812FD" w:rsidRPr="008E70AD" w:rsidRDefault="0004002E" w:rsidP="008D765F">
            <w:pPr>
              <w:rPr>
                <w:color w:val="000000"/>
              </w:rPr>
            </w:pPr>
            <w:r>
              <w:rPr>
                <w:color w:val="000000"/>
              </w:rPr>
              <w:t>Дневная зона (п</w:t>
            </w:r>
            <w:r w:rsidRPr="008E70AD">
              <w:rPr>
                <w:color w:val="000000"/>
              </w:rPr>
              <w:t xml:space="preserve">иковая </w:t>
            </w:r>
            <w:r>
              <w:rPr>
                <w:color w:val="000000"/>
              </w:rPr>
              <w:t>и полупиковая)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2,85</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AA12DF" w:rsidRDefault="009812FD" w:rsidP="008D765F">
            <w:pPr>
              <w:jc w:val="center"/>
              <w:rPr>
                <w:color w:val="000000"/>
              </w:rPr>
            </w:pPr>
            <w:r w:rsidRPr="00AA12DF">
              <w:rPr>
                <w:color w:val="000000"/>
              </w:rPr>
              <w:t>2,</w:t>
            </w:r>
            <w:r w:rsidR="009F24A2">
              <w:rPr>
                <w:color w:val="000000"/>
              </w:rPr>
              <w:t>78</w:t>
            </w:r>
          </w:p>
        </w:tc>
      </w:tr>
      <w:tr w:rsidR="009812FD" w:rsidRPr="008E70AD" w:rsidTr="008D765F">
        <w:trPr>
          <w:trHeight w:val="300"/>
        </w:trPr>
        <w:tc>
          <w:tcPr>
            <w:tcW w:w="710" w:type="dxa"/>
            <w:vMerge/>
            <w:tcBorders>
              <w:top w:val="nil"/>
              <w:left w:val="single" w:sz="4" w:space="0" w:color="auto"/>
              <w:bottom w:val="single" w:sz="4" w:space="0" w:color="auto"/>
              <w:right w:val="single" w:sz="4" w:space="0" w:color="auto"/>
            </w:tcBorders>
            <w:vAlign w:val="center"/>
            <w:hideMark/>
          </w:tcPr>
          <w:p w:rsidR="009812FD" w:rsidRPr="008E70AD" w:rsidRDefault="009812FD" w:rsidP="008D765F">
            <w:pPr>
              <w:rPr>
                <w:color w:val="000000"/>
              </w:rPr>
            </w:pPr>
          </w:p>
        </w:tc>
        <w:tc>
          <w:tcPr>
            <w:tcW w:w="3969" w:type="dxa"/>
            <w:tcBorders>
              <w:top w:val="nil"/>
              <w:left w:val="nil"/>
              <w:bottom w:val="single" w:sz="4" w:space="0" w:color="auto"/>
              <w:right w:val="nil"/>
            </w:tcBorders>
            <w:shd w:val="clear" w:color="auto" w:fill="auto"/>
            <w:noWrap/>
            <w:vAlign w:val="bottom"/>
            <w:hideMark/>
          </w:tcPr>
          <w:p w:rsidR="009812FD" w:rsidRPr="008E70AD" w:rsidRDefault="009812FD" w:rsidP="008D765F">
            <w:pPr>
              <w:rPr>
                <w:color w:val="000000"/>
              </w:rPr>
            </w:pPr>
            <w:r w:rsidRPr="008E70AD">
              <w:rPr>
                <w:color w:val="000000"/>
              </w:rPr>
              <w:t>Ночная зона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1,38</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AA12DF" w:rsidRDefault="009812FD" w:rsidP="008D765F">
            <w:pPr>
              <w:jc w:val="center"/>
              <w:rPr>
                <w:color w:val="000000"/>
              </w:rPr>
            </w:pPr>
            <w:r w:rsidRPr="00AA12DF">
              <w:rPr>
                <w:color w:val="000000"/>
              </w:rPr>
              <w:t>1,</w:t>
            </w:r>
            <w:r w:rsidR="009F24A2">
              <w:rPr>
                <w:color w:val="000000"/>
              </w:rPr>
              <w:t>79</w:t>
            </w:r>
          </w:p>
        </w:tc>
      </w:tr>
      <w:tr w:rsidR="0004002E" w:rsidRPr="008E70AD" w:rsidTr="008D765F">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002E" w:rsidRPr="008E70AD" w:rsidRDefault="0004002E" w:rsidP="008D765F">
            <w:pPr>
              <w:jc w:val="center"/>
              <w:rPr>
                <w:color w:val="000000"/>
              </w:rPr>
            </w:pPr>
            <w:r>
              <w:rPr>
                <w:color w:val="000000"/>
              </w:rPr>
              <w:t>4</w:t>
            </w:r>
            <w:r w:rsidRPr="008E70AD">
              <w:rPr>
                <w:color w:val="000000"/>
              </w:rPr>
              <w:t>.3</w:t>
            </w:r>
            <w:r>
              <w:rPr>
                <w:color w:val="000000"/>
              </w:rPr>
              <w:t>.</w:t>
            </w:r>
          </w:p>
        </w:tc>
        <w:tc>
          <w:tcPr>
            <w:tcW w:w="9213" w:type="dxa"/>
            <w:gridSpan w:val="5"/>
            <w:tcBorders>
              <w:top w:val="nil"/>
              <w:left w:val="nil"/>
              <w:bottom w:val="single" w:sz="4" w:space="0" w:color="auto"/>
              <w:right w:val="single" w:sz="4" w:space="0" w:color="auto"/>
            </w:tcBorders>
            <w:shd w:val="clear" w:color="auto" w:fill="auto"/>
            <w:noWrap/>
            <w:vAlign w:val="bottom"/>
            <w:hideMark/>
          </w:tcPr>
          <w:p w:rsidR="0004002E" w:rsidRPr="00AA12DF" w:rsidRDefault="0004002E" w:rsidP="0004002E">
            <w:pPr>
              <w:rPr>
                <w:color w:val="000000"/>
              </w:rPr>
            </w:pPr>
            <w:r>
              <w:rPr>
                <w:color w:val="000000"/>
              </w:rPr>
              <w:t>Одноставочный</w:t>
            </w:r>
            <w:r w:rsidRPr="008E70AD">
              <w:rPr>
                <w:color w:val="000000"/>
              </w:rPr>
              <w:t xml:space="preserve"> </w:t>
            </w:r>
            <w:r>
              <w:rPr>
                <w:color w:val="000000"/>
              </w:rPr>
              <w:t>т</w:t>
            </w:r>
            <w:r w:rsidRPr="008E70AD">
              <w:rPr>
                <w:color w:val="000000"/>
              </w:rPr>
              <w:t>ариф, дифференцированный по трем зонам суток</w:t>
            </w:r>
            <w:r>
              <w:rPr>
                <w:color w:val="000000"/>
              </w:rPr>
              <w:t>*</w:t>
            </w:r>
          </w:p>
        </w:tc>
      </w:tr>
      <w:tr w:rsidR="009812FD" w:rsidRPr="008E70AD" w:rsidTr="008D765F">
        <w:trPr>
          <w:trHeight w:val="300"/>
        </w:trPr>
        <w:tc>
          <w:tcPr>
            <w:tcW w:w="710" w:type="dxa"/>
            <w:vMerge/>
            <w:tcBorders>
              <w:top w:val="nil"/>
              <w:left w:val="single" w:sz="4" w:space="0" w:color="auto"/>
              <w:bottom w:val="single" w:sz="4" w:space="0" w:color="auto"/>
              <w:right w:val="single" w:sz="4" w:space="0" w:color="auto"/>
            </w:tcBorders>
            <w:vAlign w:val="center"/>
            <w:hideMark/>
          </w:tcPr>
          <w:p w:rsidR="009812FD" w:rsidRPr="008E70AD" w:rsidRDefault="009812FD" w:rsidP="008D765F">
            <w:pPr>
              <w:rPr>
                <w:color w:val="000000"/>
              </w:rPr>
            </w:pPr>
          </w:p>
        </w:tc>
        <w:tc>
          <w:tcPr>
            <w:tcW w:w="3969" w:type="dxa"/>
            <w:tcBorders>
              <w:top w:val="nil"/>
              <w:left w:val="nil"/>
              <w:bottom w:val="single" w:sz="4" w:space="0" w:color="auto"/>
              <w:right w:val="nil"/>
            </w:tcBorders>
            <w:shd w:val="clear" w:color="auto" w:fill="auto"/>
            <w:noWrap/>
            <w:vAlign w:val="bottom"/>
            <w:hideMark/>
          </w:tcPr>
          <w:p w:rsidR="009812FD" w:rsidRPr="008E70AD" w:rsidRDefault="009812FD" w:rsidP="008D765F">
            <w:pPr>
              <w:rPr>
                <w:color w:val="000000"/>
              </w:rPr>
            </w:pPr>
            <w:r w:rsidRPr="008E70AD">
              <w:rPr>
                <w:color w:val="000000"/>
              </w:rPr>
              <w:t>Пиковая зона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3,53</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AA12DF" w:rsidRDefault="009812FD" w:rsidP="008D765F">
            <w:pPr>
              <w:jc w:val="center"/>
              <w:rPr>
                <w:color w:val="000000"/>
              </w:rPr>
            </w:pPr>
            <w:r w:rsidRPr="00AA12DF">
              <w:rPr>
                <w:color w:val="000000"/>
              </w:rPr>
              <w:t>3,</w:t>
            </w:r>
            <w:r w:rsidR="009F24A2">
              <w:rPr>
                <w:color w:val="000000"/>
              </w:rPr>
              <w:t>15</w:t>
            </w:r>
          </w:p>
        </w:tc>
      </w:tr>
      <w:tr w:rsidR="009812FD" w:rsidRPr="008E70AD" w:rsidTr="008D765F">
        <w:trPr>
          <w:trHeight w:val="300"/>
        </w:trPr>
        <w:tc>
          <w:tcPr>
            <w:tcW w:w="710" w:type="dxa"/>
            <w:vMerge/>
            <w:tcBorders>
              <w:top w:val="nil"/>
              <w:left w:val="single" w:sz="4" w:space="0" w:color="auto"/>
              <w:bottom w:val="single" w:sz="4" w:space="0" w:color="auto"/>
              <w:right w:val="single" w:sz="4" w:space="0" w:color="auto"/>
            </w:tcBorders>
            <w:vAlign w:val="center"/>
            <w:hideMark/>
          </w:tcPr>
          <w:p w:rsidR="009812FD" w:rsidRPr="008E70AD" w:rsidRDefault="009812FD" w:rsidP="008D765F">
            <w:pPr>
              <w:rPr>
                <w:color w:val="000000"/>
              </w:rPr>
            </w:pPr>
          </w:p>
        </w:tc>
        <w:tc>
          <w:tcPr>
            <w:tcW w:w="3969" w:type="dxa"/>
            <w:tcBorders>
              <w:top w:val="nil"/>
              <w:left w:val="nil"/>
              <w:bottom w:val="single" w:sz="4" w:space="0" w:color="auto"/>
              <w:right w:val="nil"/>
            </w:tcBorders>
            <w:shd w:val="clear" w:color="auto" w:fill="auto"/>
            <w:noWrap/>
            <w:vAlign w:val="bottom"/>
            <w:hideMark/>
          </w:tcPr>
          <w:p w:rsidR="009812FD" w:rsidRPr="008E70AD" w:rsidRDefault="009812FD" w:rsidP="008D765F">
            <w:pPr>
              <w:rPr>
                <w:color w:val="000000"/>
              </w:rPr>
            </w:pPr>
            <w:r w:rsidRPr="008E70AD">
              <w:rPr>
                <w:color w:val="000000"/>
              </w:rPr>
              <w:t>Полупиковая зона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2,41</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AA12DF" w:rsidRDefault="009812FD" w:rsidP="008D765F">
            <w:pPr>
              <w:jc w:val="center"/>
              <w:rPr>
                <w:color w:val="000000"/>
              </w:rPr>
            </w:pPr>
            <w:r w:rsidRPr="00AA12DF">
              <w:rPr>
                <w:color w:val="000000"/>
              </w:rPr>
              <w:t>2,51</w:t>
            </w:r>
          </w:p>
        </w:tc>
      </w:tr>
      <w:tr w:rsidR="009812FD" w:rsidRPr="008E70AD" w:rsidTr="008D765F">
        <w:trPr>
          <w:trHeight w:val="300"/>
        </w:trPr>
        <w:tc>
          <w:tcPr>
            <w:tcW w:w="710" w:type="dxa"/>
            <w:vMerge/>
            <w:tcBorders>
              <w:top w:val="nil"/>
              <w:left w:val="single" w:sz="4" w:space="0" w:color="auto"/>
              <w:bottom w:val="single" w:sz="4" w:space="0" w:color="auto"/>
              <w:right w:val="single" w:sz="4" w:space="0" w:color="auto"/>
            </w:tcBorders>
            <w:vAlign w:val="center"/>
            <w:hideMark/>
          </w:tcPr>
          <w:p w:rsidR="009812FD" w:rsidRPr="008E70AD" w:rsidRDefault="009812FD" w:rsidP="008D765F">
            <w:pPr>
              <w:rPr>
                <w:color w:val="000000"/>
              </w:rPr>
            </w:pPr>
          </w:p>
        </w:tc>
        <w:tc>
          <w:tcPr>
            <w:tcW w:w="3969" w:type="dxa"/>
            <w:tcBorders>
              <w:top w:val="nil"/>
              <w:left w:val="nil"/>
              <w:bottom w:val="single" w:sz="4" w:space="0" w:color="auto"/>
              <w:right w:val="nil"/>
            </w:tcBorders>
            <w:shd w:val="clear" w:color="auto" w:fill="auto"/>
            <w:noWrap/>
            <w:vAlign w:val="bottom"/>
            <w:hideMark/>
          </w:tcPr>
          <w:p w:rsidR="009812FD" w:rsidRPr="008E70AD" w:rsidRDefault="009812FD" w:rsidP="008D765F">
            <w:pPr>
              <w:rPr>
                <w:color w:val="000000"/>
              </w:rPr>
            </w:pPr>
            <w:r w:rsidRPr="008E70AD">
              <w:rPr>
                <w:color w:val="000000"/>
              </w:rPr>
              <w:t>Ночная зона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1,38</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AA12DF" w:rsidRDefault="009812FD" w:rsidP="008D765F">
            <w:pPr>
              <w:jc w:val="center"/>
              <w:rPr>
                <w:color w:val="000000"/>
              </w:rPr>
            </w:pPr>
            <w:r w:rsidRPr="00AA12DF">
              <w:rPr>
                <w:color w:val="000000"/>
              </w:rPr>
              <w:t>1,</w:t>
            </w:r>
            <w:r w:rsidR="009F24A2">
              <w:rPr>
                <w:color w:val="000000"/>
              </w:rPr>
              <w:t>79</w:t>
            </w:r>
          </w:p>
        </w:tc>
      </w:tr>
    </w:tbl>
    <w:p w:rsidR="008D765F" w:rsidRDefault="008D765F" w:rsidP="008D765F">
      <w:pPr>
        <w:rPr>
          <w:sz w:val="24"/>
          <w:szCs w:val="24"/>
        </w:rPr>
        <w:sectPr w:rsidR="008D765F" w:rsidSect="008D765F">
          <w:headerReference w:type="even" r:id="rId9"/>
          <w:headerReference w:type="default" r:id="rId10"/>
          <w:pgSz w:w="11906" w:h="16838" w:code="9"/>
          <w:pgMar w:top="567" w:right="991" w:bottom="851" w:left="1304" w:header="720" w:footer="720" w:gutter="0"/>
          <w:cols w:space="720"/>
          <w:titlePg/>
        </w:sectPr>
      </w:pPr>
    </w:p>
    <w:tbl>
      <w:tblPr>
        <w:tblStyle w:val="a6"/>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5103"/>
      </w:tblGrid>
      <w:tr w:rsidR="008D765F" w:rsidTr="008D765F">
        <w:trPr>
          <w:trHeight w:val="562"/>
        </w:trPr>
        <w:tc>
          <w:tcPr>
            <w:tcW w:w="10031" w:type="dxa"/>
          </w:tcPr>
          <w:p w:rsidR="008D765F" w:rsidRPr="00A660DF" w:rsidRDefault="008D765F" w:rsidP="008D765F">
            <w:pPr>
              <w:rPr>
                <w:sz w:val="24"/>
                <w:szCs w:val="24"/>
              </w:rPr>
            </w:pPr>
          </w:p>
        </w:tc>
        <w:tc>
          <w:tcPr>
            <w:tcW w:w="5103" w:type="dxa"/>
          </w:tcPr>
          <w:p w:rsidR="008D765F" w:rsidRPr="00DA1A27" w:rsidRDefault="008D765F" w:rsidP="008D765F">
            <w:pPr>
              <w:jc w:val="center"/>
            </w:pPr>
            <w:r w:rsidRPr="00DA1A27">
              <w:t xml:space="preserve">Приложение 2 </w:t>
            </w:r>
            <w:r w:rsidRPr="00DA1A27">
              <w:br/>
              <w:t xml:space="preserve">к постановлению Государственного комитета </w:t>
            </w:r>
            <w:r>
              <w:br/>
            </w:r>
            <w:r w:rsidRPr="00DA1A27">
              <w:t xml:space="preserve">«Единый тарифный орган Челябинской области» </w:t>
            </w:r>
            <w:r>
              <w:br/>
            </w:r>
            <w:r w:rsidRPr="00DA1A27">
              <w:t>от 19.12.2013 г. № 58/</w:t>
            </w:r>
            <w:r w:rsidR="005C7DCB">
              <w:t>7</w:t>
            </w:r>
          </w:p>
        </w:tc>
      </w:tr>
    </w:tbl>
    <w:p w:rsidR="008D765F" w:rsidRDefault="008D765F" w:rsidP="008D765F">
      <w:pPr>
        <w:rPr>
          <w:sz w:val="24"/>
          <w:szCs w:val="24"/>
        </w:rPr>
      </w:pPr>
    </w:p>
    <w:p w:rsidR="008D765F" w:rsidRDefault="008D765F" w:rsidP="008D765F">
      <w:pPr>
        <w:jc w:val="center"/>
        <w:rPr>
          <w:sz w:val="24"/>
          <w:szCs w:val="24"/>
        </w:rPr>
      </w:pPr>
      <w:r>
        <w:rPr>
          <w:sz w:val="24"/>
          <w:szCs w:val="24"/>
        </w:rPr>
        <w:t xml:space="preserve">Цены (тарифы) на электрическую энергию для населения и приравненным к </w:t>
      </w:r>
      <w:r w:rsidR="00D84589">
        <w:rPr>
          <w:sz w:val="24"/>
          <w:szCs w:val="24"/>
        </w:rPr>
        <w:t xml:space="preserve">нему категориям потребителей </w:t>
      </w:r>
      <w:r w:rsidR="00D84589">
        <w:rPr>
          <w:sz w:val="24"/>
          <w:szCs w:val="24"/>
        </w:rPr>
        <w:br/>
        <w:t>на территории</w:t>
      </w:r>
      <w:r>
        <w:rPr>
          <w:sz w:val="24"/>
          <w:szCs w:val="24"/>
        </w:rPr>
        <w:t xml:space="preserve"> Челябинской области сверх социальной нормы потребления</w:t>
      </w:r>
    </w:p>
    <w:p w:rsidR="00035EA7" w:rsidRDefault="00035EA7" w:rsidP="008D765F">
      <w:pPr>
        <w:jc w:val="center"/>
      </w:pPr>
    </w:p>
    <w:tbl>
      <w:tblPr>
        <w:tblW w:w="19409" w:type="dxa"/>
        <w:tblInd w:w="98" w:type="dxa"/>
        <w:tblLook w:val="04A0" w:firstRow="1" w:lastRow="0" w:firstColumn="1" w:lastColumn="0" w:noHBand="0" w:noVBand="1"/>
      </w:tblPr>
      <w:tblGrid>
        <w:gridCol w:w="711"/>
        <w:gridCol w:w="2337"/>
        <w:gridCol w:w="1113"/>
        <w:gridCol w:w="1091"/>
        <w:gridCol w:w="1281"/>
        <w:gridCol w:w="113"/>
        <w:gridCol w:w="1175"/>
        <w:gridCol w:w="113"/>
        <w:gridCol w:w="912"/>
        <w:gridCol w:w="1004"/>
        <w:gridCol w:w="912"/>
        <w:gridCol w:w="1297"/>
        <w:gridCol w:w="992"/>
        <w:gridCol w:w="993"/>
        <w:gridCol w:w="1073"/>
        <w:gridCol w:w="1073"/>
        <w:gridCol w:w="1073"/>
        <w:gridCol w:w="1073"/>
        <w:gridCol w:w="1073"/>
      </w:tblGrid>
      <w:tr w:rsidR="008D765F" w:rsidRPr="003C65EC" w:rsidTr="009F24A2">
        <w:trPr>
          <w:gridAfter w:val="4"/>
          <w:wAfter w:w="4292" w:type="dxa"/>
          <w:trHeight w:val="330"/>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765F" w:rsidRPr="003C65EC" w:rsidRDefault="008D765F" w:rsidP="008D765F">
            <w:pPr>
              <w:jc w:val="center"/>
              <w:rPr>
                <w:sz w:val="16"/>
                <w:szCs w:val="16"/>
              </w:rPr>
            </w:pPr>
            <w:r w:rsidRPr="003C65EC">
              <w:rPr>
                <w:sz w:val="16"/>
                <w:szCs w:val="16"/>
              </w:rPr>
              <w:t>№</w:t>
            </w:r>
            <w:r w:rsidRPr="003C65EC">
              <w:rPr>
                <w:sz w:val="16"/>
                <w:szCs w:val="16"/>
              </w:rPr>
              <w:br/>
              <w:t>п/п</w:t>
            </w:r>
          </w:p>
        </w:tc>
        <w:tc>
          <w:tcPr>
            <w:tcW w:w="2337" w:type="dxa"/>
            <w:vMerge w:val="restart"/>
            <w:tcBorders>
              <w:top w:val="single" w:sz="4" w:space="0" w:color="auto"/>
              <w:left w:val="nil"/>
              <w:bottom w:val="single" w:sz="4" w:space="0" w:color="000000"/>
              <w:right w:val="single" w:sz="4" w:space="0" w:color="auto"/>
            </w:tcBorders>
            <w:shd w:val="clear" w:color="auto" w:fill="auto"/>
            <w:vAlign w:val="center"/>
            <w:hideMark/>
          </w:tcPr>
          <w:p w:rsidR="008D765F" w:rsidRPr="00625488" w:rsidRDefault="008D765F" w:rsidP="008D765F">
            <w:pPr>
              <w:jc w:val="center"/>
              <w:rPr>
                <w:sz w:val="16"/>
                <w:szCs w:val="16"/>
              </w:rPr>
            </w:pPr>
          </w:p>
          <w:p w:rsidR="008D765F" w:rsidRPr="003C65EC" w:rsidRDefault="008D765F" w:rsidP="008D765F">
            <w:pPr>
              <w:jc w:val="center"/>
              <w:rPr>
                <w:sz w:val="16"/>
                <w:szCs w:val="16"/>
              </w:rPr>
            </w:pP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765F" w:rsidRPr="003C65EC" w:rsidRDefault="008D765F" w:rsidP="008D765F">
            <w:pPr>
              <w:jc w:val="center"/>
              <w:rPr>
                <w:sz w:val="16"/>
                <w:szCs w:val="16"/>
              </w:rPr>
            </w:pPr>
            <w:r w:rsidRPr="003C65EC">
              <w:rPr>
                <w:sz w:val="16"/>
                <w:szCs w:val="16"/>
              </w:rPr>
              <w:t>Единица измерения</w:t>
            </w:r>
          </w:p>
        </w:tc>
        <w:tc>
          <w:tcPr>
            <w:tcW w:w="5689" w:type="dxa"/>
            <w:gridSpan w:val="7"/>
            <w:tcBorders>
              <w:top w:val="single" w:sz="4" w:space="0" w:color="auto"/>
              <w:left w:val="nil"/>
              <w:bottom w:val="single" w:sz="4" w:space="0" w:color="auto"/>
              <w:right w:val="single" w:sz="4" w:space="0" w:color="000000"/>
            </w:tcBorders>
            <w:shd w:val="clear" w:color="auto" w:fill="auto"/>
            <w:vAlign w:val="center"/>
            <w:hideMark/>
          </w:tcPr>
          <w:p w:rsidR="008D765F" w:rsidRPr="003C65EC" w:rsidRDefault="008D765F" w:rsidP="008D765F">
            <w:pPr>
              <w:jc w:val="center"/>
              <w:rPr>
                <w:sz w:val="16"/>
                <w:szCs w:val="16"/>
              </w:rPr>
            </w:pPr>
            <w:r w:rsidRPr="003C65EC">
              <w:rPr>
                <w:sz w:val="16"/>
                <w:szCs w:val="16"/>
              </w:rPr>
              <w:t>1 полугодие</w:t>
            </w:r>
            <w:r w:rsidR="00C035D8">
              <w:rPr>
                <w:sz w:val="16"/>
                <w:szCs w:val="16"/>
              </w:rPr>
              <w:t xml:space="preserve"> 2014 года</w:t>
            </w:r>
          </w:p>
        </w:tc>
        <w:tc>
          <w:tcPr>
            <w:tcW w:w="5267" w:type="dxa"/>
            <w:gridSpan w:val="5"/>
            <w:tcBorders>
              <w:top w:val="single" w:sz="4" w:space="0" w:color="auto"/>
              <w:left w:val="nil"/>
              <w:bottom w:val="single" w:sz="4" w:space="0" w:color="auto"/>
              <w:right w:val="single" w:sz="4" w:space="0" w:color="000000"/>
            </w:tcBorders>
            <w:shd w:val="clear" w:color="auto" w:fill="auto"/>
            <w:vAlign w:val="center"/>
            <w:hideMark/>
          </w:tcPr>
          <w:p w:rsidR="008D765F" w:rsidRPr="003C65EC" w:rsidRDefault="008D765F" w:rsidP="008D765F">
            <w:pPr>
              <w:jc w:val="center"/>
              <w:rPr>
                <w:sz w:val="16"/>
                <w:szCs w:val="16"/>
              </w:rPr>
            </w:pPr>
            <w:r w:rsidRPr="003C65EC">
              <w:rPr>
                <w:sz w:val="16"/>
                <w:szCs w:val="16"/>
              </w:rPr>
              <w:t>2 полугодие</w:t>
            </w:r>
            <w:r w:rsidR="00C035D8">
              <w:rPr>
                <w:sz w:val="16"/>
                <w:szCs w:val="16"/>
              </w:rPr>
              <w:t xml:space="preserve"> 2014 года</w:t>
            </w:r>
          </w:p>
        </w:tc>
      </w:tr>
      <w:tr w:rsidR="008D765F" w:rsidRPr="003C65EC" w:rsidTr="009F24A2">
        <w:trPr>
          <w:gridAfter w:val="4"/>
          <w:wAfter w:w="4292" w:type="dxa"/>
          <w:trHeight w:val="1920"/>
        </w:trPr>
        <w:tc>
          <w:tcPr>
            <w:tcW w:w="711" w:type="dxa"/>
            <w:vMerge/>
            <w:tcBorders>
              <w:top w:val="single" w:sz="4" w:space="0" w:color="auto"/>
              <w:left w:val="single" w:sz="4" w:space="0" w:color="auto"/>
              <w:bottom w:val="single" w:sz="4" w:space="0" w:color="auto"/>
              <w:right w:val="single" w:sz="4" w:space="0" w:color="auto"/>
            </w:tcBorders>
            <w:vAlign w:val="center"/>
            <w:hideMark/>
          </w:tcPr>
          <w:p w:rsidR="008D765F" w:rsidRPr="003C65EC" w:rsidRDefault="008D765F" w:rsidP="008D765F">
            <w:pPr>
              <w:rPr>
                <w:sz w:val="16"/>
                <w:szCs w:val="16"/>
              </w:rPr>
            </w:pPr>
          </w:p>
        </w:tc>
        <w:tc>
          <w:tcPr>
            <w:tcW w:w="2337" w:type="dxa"/>
            <w:vMerge/>
            <w:tcBorders>
              <w:top w:val="single" w:sz="4" w:space="0" w:color="auto"/>
              <w:left w:val="nil"/>
              <w:bottom w:val="single" w:sz="4" w:space="0" w:color="000000"/>
              <w:right w:val="single" w:sz="4" w:space="0" w:color="auto"/>
            </w:tcBorders>
            <w:vAlign w:val="center"/>
            <w:hideMark/>
          </w:tcPr>
          <w:p w:rsidR="008D765F" w:rsidRPr="003C65EC" w:rsidRDefault="008D765F" w:rsidP="008D765F">
            <w:pPr>
              <w:rPr>
                <w:sz w:val="16"/>
                <w:szCs w:val="16"/>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rsidR="008D765F" w:rsidRPr="003C65EC" w:rsidRDefault="008D765F" w:rsidP="008D765F">
            <w:pPr>
              <w:rPr>
                <w:sz w:val="16"/>
                <w:szCs w:val="16"/>
              </w:rPr>
            </w:pPr>
          </w:p>
        </w:tc>
        <w:tc>
          <w:tcPr>
            <w:tcW w:w="1091" w:type="dxa"/>
            <w:tcBorders>
              <w:top w:val="nil"/>
              <w:left w:val="nil"/>
              <w:bottom w:val="single" w:sz="4" w:space="0" w:color="auto"/>
              <w:right w:val="nil"/>
            </w:tcBorders>
            <w:shd w:val="clear" w:color="auto" w:fill="auto"/>
            <w:vAlign w:val="center"/>
            <w:hideMark/>
          </w:tcPr>
          <w:p w:rsidR="008D765F" w:rsidRPr="003C65EC" w:rsidRDefault="008D765F" w:rsidP="008D765F">
            <w:pPr>
              <w:jc w:val="center"/>
              <w:rPr>
                <w:sz w:val="16"/>
                <w:szCs w:val="16"/>
              </w:rPr>
            </w:pPr>
            <w:r w:rsidRPr="003C65EC">
              <w:rPr>
                <w:sz w:val="16"/>
                <w:szCs w:val="16"/>
              </w:rPr>
              <w:t>Цена</w:t>
            </w:r>
            <w:r w:rsidRPr="003C65EC">
              <w:rPr>
                <w:sz w:val="16"/>
                <w:szCs w:val="16"/>
              </w:rPr>
              <w:br/>
              <w:t>(тариф),</w:t>
            </w:r>
            <w:r w:rsidRPr="003C65EC">
              <w:rPr>
                <w:sz w:val="16"/>
                <w:szCs w:val="16"/>
              </w:rPr>
              <w:br/>
              <w:t>всего</w:t>
            </w:r>
          </w:p>
        </w:tc>
        <w:tc>
          <w:tcPr>
            <w:tcW w:w="1281" w:type="dxa"/>
            <w:tcBorders>
              <w:top w:val="nil"/>
              <w:left w:val="single" w:sz="4" w:space="0" w:color="auto"/>
              <w:bottom w:val="single" w:sz="4" w:space="0" w:color="auto"/>
              <w:right w:val="nil"/>
            </w:tcBorders>
            <w:shd w:val="clear" w:color="auto" w:fill="auto"/>
            <w:vAlign w:val="center"/>
            <w:hideMark/>
          </w:tcPr>
          <w:p w:rsidR="008D765F" w:rsidRPr="003C65EC" w:rsidRDefault="008D765F" w:rsidP="008D765F">
            <w:pPr>
              <w:jc w:val="center"/>
              <w:rPr>
                <w:sz w:val="16"/>
                <w:szCs w:val="16"/>
              </w:rPr>
            </w:pPr>
            <w:r w:rsidRPr="003C65EC">
              <w:rPr>
                <w:sz w:val="16"/>
                <w:szCs w:val="16"/>
              </w:rPr>
              <w:t>стоимость единицы электро-энергии</w:t>
            </w:r>
            <w:r w:rsidRPr="003C65EC">
              <w:rPr>
                <w:sz w:val="16"/>
                <w:szCs w:val="16"/>
              </w:rPr>
              <w:br/>
              <w:t>с учетом стоимости мощности</w:t>
            </w:r>
          </w:p>
        </w:tc>
        <w:tc>
          <w:tcPr>
            <w:tcW w:w="1288" w:type="dxa"/>
            <w:gridSpan w:val="2"/>
            <w:tcBorders>
              <w:top w:val="nil"/>
              <w:left w:val="single" w:sz="4" w:space="0" w:color="auto"/>
              <w:bottom w:val="single" w:sz="4" w:space="0" w:color="auto"/>
              <w:right w:val="nil"/>
            </w:tcBorders>
            <w:shd w:val="clear" w:color="auto" w:fill="auto"/>
            <w:vAlign w:val="center"/>
            <w:hideMark/>
          </w:tcPr>
          <w:p w:rsidR="008D765F" w:rsidRPr="003C65EC" w:rsidRDefault="008D765F" w:rsidP="008D765F">
            <w:pPr>
              <w:jc w:val="center"/>
              <w:rPr>
                <w:sz w:val="16"/>
                <w:szCs w:val="16"/>
              </w:rPr>
            </w:pPr>
            <w:r w:rsidRPr="003C65EC">
              <w:rPr>
                <w:sz w:val="16"/>
                <w:szCs w:val="16"/>
              </w:rPr>
              <w:t>услуги</w:t>
            </w:r>
            <w:r w:rsidRPr="003C65EC">
              <w:rPr>
                <w:sz w:val="16"/>
                <w:szCs w:val="16"/>
              </w:rPr>
              <w:br/>
              <w:t>по пере-даче единицы электри-ческой энергии</w:t>
            </w:r>
          </w:p>
        </w:tc>
        <w:tc>
          <w:tcPr>
            <w:tcW w:w="1025" w:type="dxa"/>
            <w:gridSpan w:val="2"/>
            <w:tcBorders>
              <w:top w:val="nil"/>
              <w:left w:val="single" w:sz="4" w:space="0" w:color="auto"/>
              <w:bottom w:val="single" w:sz="4" w:space="0" w:color="auto"/>
              <w:right w:val="nil"/>
            </w:tcBorders>
            <w:shd w:val="clear" w:color="auto" w:fill="auto"/>
            <w:vAlign w:val="center"/>
            <w:hideMark/>
          </w:tcPr>
          <w:p w:rsidR="008D765F" w:rsidRPr="003C65EC" w:rsidRDefault="008D765F" w:rsidP="008D765F">
            <w:pPr>
              <w:jc w:val="center"/>
              <w:rPr>
                <w:sz w:val="16"/>
                <w:szCs w:val="16"/>
              </w:rPr>
            </w:pPr>
            <w:r w:rsidRPr="003C65EC">
              <w:rPr>
                <w:sz w:val="16"/>
                <w:szCs w:val="16"/>
              </w:rPr>
              <w:t xml:space="preserve">Инфра-струк-турные платежи </w:t>
            </w:r>
            <w:r w:rsidRPr="003C65EC">
              <w:rPr>
                <w:sz w:val="16"/>
                <w:szCs w:val="16"/>
                <w:vertAlign w:val="superscript"/>
              </w:rPr>
              <w:t>3</w:t>
            </w:r>
          </w:p>
        </w:tc>
        <w:tc>
          <w:tcPr>
            <w:tcW w:w="1004" w:type="dxa"/>
            <w:tcBorders>
              <w:top w:val="nil"/>
              <w:left w:val="single" w:sz="4" w:space="0" w:color="auto"/>
              <w:bottom w:val="single" w:sz="4" w:space="0" w:color="auto"/>
              <w:right w:val="nil"/>
            </w:tcBorders>
            <w:shd w:val="clear" w:color="auto" w:fill="auto"/>
            <w:vAlign w:val="center"/>
            <w:hideMark/>
          </w:tcPr>
          <w:p w:rsidR="008D765F" w:rsidRPr="003C65EC" w:rsidRDefault="008D765F" w:rsidP="008D765F">
            <w:pPr>
              <w:jc w:val="center"/>
              <w:rPr>
                <w:sz w:val="16"/>
                <w:szCs w:val="16"/>
              </w:rPr>
            </w:pPr>
            <w:r w:rsidRPr="003C65EC">
              <w:rPr>
                <w:sz w:val="16"/>
                <w:szCs w:val="16"/>
              </w:rPr>
              <w:t>сбытовая надбавка гаранти-рующего постав-щика</w:t>
            </w:r>
          </w:p>
        </w:tc>
        <w:tc>
          <w:tcPr>
            <w:tcW w:w="912" w:type="dxa"/>
            <w:tcBorders>
              <w:top w:val="nil"/>
              <w:left w:val="single" w:sz="4" w:space="0" w:color="auto"/>
              <w:bottom w:val="single" w:sz="4" w:space="0" w:color="auto"/>
              <w:right w:val="nil"/>
            </w:tcBorders>
            <w:shd w:val="clear" w:color="auto" w:fill="auto"/>
            <w:vAlign w:val="center"/>
            <w:hideMark/>
          </w:tcPr>
          <w:p w:rsidR="008D765F" w:rsidRPr="003C65EC" w:rsidRDefault="008D765F" w:rsidP="008D765F">
            <w:pPr>
              <w:jc w:val="center"/>
              <w:rPr>
                <w:sz w:val="16"/>
                <w:szCs w:val="16"/>
              </w:rPr>
            </w:pPr>
            <w:r w:rsidRPr="003C65EC">
              <w:rPr>
                <w:sz w:val="16"/>
                <w:szCs w:val="16"/>
              </w:rPr>
              <w:t>Цена</w:t>
            </w:r>
            <w:r w:rsidRPr="003C65EC">
              <w:rPr>
                <w:sz w:val="16"/>
                <w:szCs w:val="16"/>
              </w:rPr>
              <w:br/>
              <w:t>(тариф),</w:t>
            </w:r>
            <w:r w:rsidRPr="003C65EC">
              <w:rPr>
                <w:sz w:val="16"/>
                <w:szCs w:val="16"/>
              </w:rPr>
              <w:br/>
              <w:t>всего</w:t>
            </w:r>
          </w:p>
        </w:tc>
        <w:tc>
          <w:tcPr>
            <w:tcW w:w="1297" w:type="dxa"/>
            <w:tcBorders>
              <w:top w:val="nil"/>
              <w:left w:val="single" w:sz="4" w:space="0" w:color="auto"/>
              <w:bottom w:val="single" w:sz="4" w:space="0" w:color="auto"/>
              <w:right w:val="nil"/>
            </w:tcBorders>
            <w:shd w:val="clear" w:color="auto" w:fill="auto"/>
            <w:vAlign w:val="center"/>
            <w:hideMark/>
          </w:tcPr>
          <w:p w:rsidR="008D765F" w:rsidRPr="003C65EC" w:rsidRDefault="008D765F" w:rsidP="008D765F">
            <w:pPr>
              <w:jc w:val="center"/>
              <w:rPr>
                <w:sz w:val="16"/>
                <w:szCs w:val="16"/>
              </w:rPr>
            </w:pPr>
            <w:r w:rsidRPr="003C65EC">
              <w:rPr>
                <w:sz w:val="16"/>
                <w:szCs w:val="16"/>
              </w:rPr>
              <w:t>стоимость единицы электро-энергии</w:t>
            </w:r>
            <w:r w:rsidRPr="003C65EC">
              <w:rPr>
                <w:sz w:val="16"/>
                <w:szCs w:val="16"/>
              </w:rPr>
              <w:br/>
              <w:t>с учетом стоимости мощности</w:t>
            </w:r>
          </w:p>
        </w:tc>
        <w:tc>
          <w:tcPr>
            <w:tcW w:w="992" w:type="dxa"/>
            <w:tcBorders>
              <w:top w:val="nil"/>
              <w:left w:val="single" w:sz="4" w:space="0" w:color="auto"/>
              <w:bottom w:val="single" w:sz="4" w:space="0" w:color="auto"/>
              <w:right w:val="nil"/>
            </w:tcBorders>
            <w:shd w:val="clear" w:color="auto" w:fill="auto"/>
            <w:vAlign w:val="center"/>
            <w:hideMark/>
          </w:tcPr>
          <w:p w:rsidR="008D765F" w:rsidRPr="003C65EC" w:rsidRDefault="008D765F" w:rsidP="008D765F">
            <w:pPr>
              <w:jc w:val="center"/>
              <w:rPr>
                <w:sz w:val="16"/>
                <w:szCs w:val="16"/>
              </w:rPr>
            </w:pPr>
            <w:r w:rsidRPr="003C65EC">
              <w:rPr>
                <w:sz w:val="16"/>
                <w:szCs w:val="16"/>
              </w:rPr>
              <w:t>услуги</w:t>
            </w:r>
            <w:r w:rsidRPr="003C65EC">
              <w:rPr>
                <w:sz w:val="16"/>
                <w:szCs w:val="16"/>
              </w:rPr>
              <w:br/>
              <w:t>по пере-даче единицы электри-ческой энергии</w:t>
            </w:r>
          </w:p>
        </w:tc>
        <w:tc>
          <w:tcPr>
            <w:tcW w:w="993" w:type="dxa"/>
            <w:tcBorders>
              <w:top w:val="nil"/>
              <w:left w:val="single" w:sz="4" w:space="0" w:color="auto"/>
              <w:bottom w:val="single" w:sz="4" w:space="0" w:color="auto"/>
              <w:right w:val="nil"/>
            </w:tcBorders>
            <w:shd w:val="clear" w:color="auto" w:fill="auto"/>
            <w:vAlign w:val="center"/>
            <w:hideMark/>
          </w:tcPr>
          <w:p w:rsidR="008D765F" w:rsidRPr="003C65EC" w:rsidRDefault="008D765F" w:rsidP="008D765F">
            <w:pPr>
              <w:jc w:val="center"/>
              <w:rPr>
                <w:sz w:val="16"/>
                <w:szCs w:val="16"/>
              </w:rPr>
            </w:pPr>
            <w:r w:rsidRPr="003C65EC">
              <w:rPr>
                <w:sz w:val="16"/>
                <w:szCs w:val="16"/>
              </w:rPr>
              <w:t xml:space="preserve">Инфра-струк-турные платежи </w:t>
            </w:r>
            <w:r w:rsidRPr="003C65EC">
              <w:rPr>
                <w:sz w:val="16"/>
                <w:szCs w:val="16"/>
                <w:vertAlign w:val="superscript"/>
              </w:rPr>
              <w:t>3</w:t>
            </w:r>
          </w:p>
        </w:tc>
        <w:tc>
          <w:tcPr>
            <w:tcW w:w="1073" w:type="dxa"/>
            <w:tcBorders>
              <w:top w:val="nil"/>
              <w:left w:val="single" w:sz="4" w:space="0" w:color="auto"/>
              <w:bottom w:val="single" w:sz="4" w:space="0" w:color="auto"/>
              <w:right w:val="single" w:sz="4" w:space="0" w:color="auto"/>
            </w:tcBorders>
            <w:shd w:val="clear" w:color="auto" w:fill="auto"/>
            <w:vAlign w:val="center"/>
            <w:hideMark/>
          </w:tcPr>
          <w:p w:rsidR="008D765F" w:rsidRPr="006864C8" w:rsidRDefault="008D765F" w:rsidP="008D765F">
            <w:pPr>
              <w:jc w:val="center"/>
              <w:rPr>
                <w:sz w:val="16"/>
                <w:szCs w:val="16"/>
              </w:rPr>
            </w:pPr>
            <w:r w:rsidRPr="006864C8">
              <w:rPr>
                <w:sz w:val="16"/>
                <w:szCs w:val="16"/>
              </w:rPr>
              <w:t>сбытовая надбавка гаранти-рующего постав-щика</w:t>
            </w:r>
          </w:p>
        </w:tc>
      </w:tr>
      <w:tr w:rsidR="008D765F" w:rsidRPr="003C65EC" w:rsidTr="009F24A2">
        <w:trPr>
          <w:gridAfter w:val="4"/>
          <w:wAfter w:w="4292" w:type="dxa"/>
          <w:trHeight w:val="28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8D765F" w:rsidRPr="006864C8" w:rsidRDefault="008D765F" w:rsidP="008D765F">
            <w:pPr>
              <w:jc w:val="center"/>
              <w:rPr>
                <w:sz w:val="16"/>
                <w:szCs w:val="16"/>
              </w:rPr>
            </w:pPr>
            <w:r w:rsidRPr="006864C8">
              <w:rPr>
                <w:sz w:val="16"/>
                <w:szCs w:val="16"/>
              </w:rPr>
              <w:t>1</w:t>
            </w:r>
          </w:p>
        </w:tc>
        <w:tc>
          <w:tcPr>
            <w:tcW w:w="2337" w:type="dxa"/>
            <w:tcBorders>
              <w:top w:val="nil"/>
              <w:left w:val="nil"/>
              <w:bottom w:val="single" w:sz="4" w:space="0" w:color="auto"/>
              <w:right w:val="nil"/>
            </w:tcBorders>
            <w:shd w:val="clear" w:color="auto" w:fill="auto"/>
            <w:vAlign w:val="center"/>
            <w:hideMark/>
          </w:tcPr>
          <w:p w:rsidR="008D765F" w:rsidRPr="006864C8" w:rsidRDefault="008D765F" w:rsidP="008D765F">
            <w:pPr>
              <w:jc w:val="center"/>
              <w:rPr>
                <w:sz w:val="16"/>
                <w:szCs w:val="16"/>
              </w:rPr>
            </w:pPr>
            <w:r w:rsidRPr="006864C8">
              <w:rPr>
                <w:sz w:val="16"/>
                <w:szCs w:val="16"/>
              </w:rPr>
              <w:t>2</w:t>
            </w:r>
          </w:p>
        </w:tc>
        <w:tc>
          <w:tcPr>
            <w:tcW w:w="1113" w:type="dxa"/>
            <w:tcBorders>
              <w:top w:val="nil"/>
              <w:left w:val="single" w:sz="4" w:space="0" w:color="auto"/>
              <w:bottom w:val="single" w:sz="4" w:space="0" w:color="auto"/>
              <w:right w:val="nil"/>
            </w:tcBorders>
            <w:shd w:val="clear" w:color="auto" w:fill="auto"/>
            <w:vAlign w:val="center"/>
            <w:hideMark/>
          </w:tcPr>
          <w:p w:rsidR="008D765F" w:rsidRPr="006864C8" w:rsidRDefault="008D765F" w:rsidP="008D765F">
            <w:pPr>
              <w:jc w:val="center"/>
              <w:rPr>
                <w:sz w:val="16"/>
                <w:szCs w:val="16"/>
              </w:rPr>
            </w:pPr>
            <w:r w:rsidRPr="006864C8">
              <w:rPr>
                <w:sz w:val="16"/>
                <w:szCs w:val="16"/>
              </w:rPr>
              <w:t>3</w:t>
            </w:r>
          </w:p>
        </w:tc>
        <w:tc>
          <w:tcPr>
            <w:tcW w:w="1091" w:type="dxa"/>
            <w:tcBorders>
              <w:top w:val="nil"/>
              <w:left w:val="single" w:sz="4" w:space="0" w:color="auto"/>
              <w:bottom w:val="single" w:sz="4" w:space="0" w:color="auto"/>
              <w:right w:val="nil"/>
            </w:tcBorders>
            <w:shd w:val="clear" w:color="auto" w:fill="auto"/>
            <w:vAlign w:val="center"/>
            <w:hideMark/>
          </w:tcPr>
          <w:p w:rsidR="008D765F" w:rsidRPr="006864C8" w:rsidRDefault="008D765F" w:rsidP="008D765F">
            <w:pPr>
              <w:jc w:val="center"/>
              <w:rPr>
                <w:sz w:val="16"/>
                <w:szCs w:val="16"/>
              </w:rPr>
            </w:pPr>
            <w:r w:rsidRPr="006864C8">
              <w:rPr>
                <w:sz w:val="16"/>
                <w:szCs w:val="16"/>
              </w:rPr>
              <w:t>4</w:t>
            </w:r>
          </w:p>
        </w:tc>
        <w:tc>
          <w:tcPr>
            <w:tcW w:w="1281" w:type="dxa"/>
            <w:tcBorders>
              <w:top w:val="nil"/>
              <w:left w:val="single" w:sz="4" w:space="0" w:color="auto"/>
              <w:bottom w:val="single" w:sz="4" w:space="0" w:color="auto"/>
              <w:right w:val="nil"/>
            </w:tcBorders>
            <w:shd w:val="clear" w:color="auto" w:fill="auto"/>
            <w:vAlign w:val="center"/>
            <w:hideMark/>
          </w:tcPr>
          <w:p w:rsidR="008D765F" w:rsidRPr="006864C8" w:rsidRDefault="008D765F" w:rsidP="008D765F">
            <w:pPr>
              <w:jc w:val="center"/>
              <w:rPr>
                <w:sz w:val="16"/>
                <w:szCs w:val="16"/>
              </w:rPr>
            </w:pPr>
            <w:r w:rsidRPr="006864C8">
              <w:rPr>
                <w:sz w:val="16"/>
                <w:szCs w:val="16"/>
              </w:rPr>
              <w:t>5</w:t>
            </w:r>
          </w:p>
        </w:tc>
        <w:tc>
          <w:tcPr>
            <w:tcW w:w="1288" w:type="dxa"/>
            <w:gridSpan w:val="2"/>
            <w:tcBorders>
              <w:top w:val="nil"/>
              <w:left w:val="single" w:sz="4" w:space="0" w:color="auto"/>
              <w:bottom w:val="single" w:sz="4" w:space="0" w:color="auto"/>
              <w:right w:val="nil"/>
            </w:tcBorders>
            <w:shd w:val="clear" w:color="auto" w:fill="auto"/>
            <w:vAlign w:val="center"/>
            <w:hideMark/>
          </w:tcPr>
          <w:p w:rsidR="008D765F" w:rsidRPr="006864C8" w:rsidRDefault="008D765F" w:rsidP="008D765F">
            <w:pPr>
              <w:jc w:val="center"/>
              <w:rPr>
                <w:sz w:val="16"/>
                <w:szCs w:val="16"/>
              </w:rPr>
            </w:pPr>
            <w:r w:rsidRPr="006864C8">
              <w:rPr>
                <w:sz w:val="16"/>
                <w:szCs w:val="16"/>
              </w:rPr>
              <w:t>6</w:t>
            </w:r>
          </w:p>
        </w:tc>
        <w:tc>
          <w:tcPr>
            <w:tcW w:w="1025" w:type="dxa"/>
            <w:gridSpan w:val="2"/>
            <w:tcBorders>
              <w:top w:val="nil"/>
              <w:left w:val="single" w:sz="4" w:space="0" w:color="auto"/>
              <w:bottom w:val="single" w:sz="4" w:space="0" w:color="auto"/>
              <w:right w:val="nil"/>
            </w:tcBorders>
            <w:shd w:val="clear" w:color="auto" w:fill="auto"/>
            <w:vAlign w:val="center"/>
            <w:hideMark/>
          </w:tcPr>
          <w:p w:rsidR="008D765F" w:rsidRPr="006864C8" w:rsidRDefault="008D765F" w:rsidP="008D765F">
            <w:pPr>
              <w:jc w:val="center"/>
              <w:rPr>
                <w:sz w:val="16"/>
                <w:szCs w:val="16"/>
              </w:rPr>
            </w:pPr>
            <w:r w:rsidRPr="006864C8">
              <w:rPr>
                <w:sz w:val="16"/>
                <w:szCs w:val="16"/>
              </w:rPr>
              <w:t>7</w:t>
            </w:r>
          </w:p>
        </w:tc>
        <w:tc>
          <w:tcPr>
            <w:tcW w:w="1004" w:type="dxa"/>
            <w:tcBorders>
              <w:top w:val="nil"/>
              <w:left w:val="single" w:sz="4" w:space="0" w:color="auto"/>
              <w:bottom w:val="single" w:sz="4" w:space="0" w:color="auto"/>
              <w:right w:val="nil"/>
            </w:tcBorders>
            <w:shd w:val="clear" w:color="auto" w:fill="auto"/>
            <w:vAlign w:val="center"/>
            <w:hideMark/>
          </w:tcPr>
          <w:p w:rsidR="008D765F" w:rsidRPr="006864C8" w:rsidRDefault="008D765F" w:rsidP="008D765F">
            <w:pPr>
              <w:jc w:val="center"/>
              <w:rPr>
                <w:sz w:val="16"/>
                <w:szCs w:val="16"/>
              </w:rPr>
            </w:pPr>
            <w:r w:rsidRPr="006864C8">
              <w:rPr>
                <w:sz w:val="16"/>
                <w:szCs w:val="16"/>
              </w:rPr>
              <w:t>8</w:t>
            </w:r>
          </w:p>
        </w:tc>
        <w:tc>
          <w:tcPr>
            <w:tcW w:w="912" w:type="dxa"/>
            <w:tcBorders>
              <w:top w:val="nil"/>
              <w:left w:val="single" w:sz="4" w:space="0" w:color="auto"/>
              <w:bottom w:val="single" w:sz="4" w:space="0" w:color="auto"/>
              <w:right w:val="nil"/>
            </w:tcBorders>
            <w:shd w:val="clear" w:color="auto" w:fill="auto"/>
            <w:vAlign w:val="center"/>
            <w:hideMark/>
          </w:tcPr>
          <w:p w:rsidR="008D765F" w:rsidRPr="006864C8" w:rsidRDefault="008D765F" w:rsidP="008D765F">
            <w:pPr>
              <w:jc w:val="center"/>
              <w:rPr>
                <w:sz w:val="16"/>
                <w:szCs w:val="16"/>
              </w:rPr>
            </w:pPr>
            <w:r w:rsidRPr="006864C8">
              <w:rPr>
                <w:sz w:val="16"/>
                <w:szCs w:val="16"/>
              </w:rPr>
              <w:t>9</w:t>
            </w:r>
          </w:p>
        </w:tc>
        <w:tc>
          <w:tcPr>
            <w:tcW w:w="1297" w:type="dxa"/>
            <w:tcBorders>
              <w:top w:val="nil"/>
              <w:left w:val="single" w:sz="4" w:space="0" w:color="auto"/>
              <w:bottom w:val="single" w:sz="4" w:space="0" w:color="auto"/>
              <w:right w:val="nil"/>
            </w:tcBorders>
            <w:shd w:val="clear" w:color="auto" w:fill="auto"/>
            <w:vAlign w:val="center"/>
            <w:hideMark/>
          </w:tcPr>
          <w:p w:rsidR="008D765F" w:rsidRPr="006864C8" w:rsidRDefault="008D765F" w:rsidP="008D765F">
            <w:pPr>
              <w:jc w:val="center"/>
              <w:rPr>
                <w:sz w:val="16"/>
                <w:szCs w:val="16"/>
              </w:rPr>
            </w:pPr>
            <w:r w:rsidRPr="006864C8">
              <w:rPr>
                <w:sz w:val="16"/>
                <w:szCs w:val="16"/>
              </w:rPr>
              <w:t>10</w:t>
            </w:r>
          </w:p>
        </w:tc>
        <w:tc>
          <w:tcPr>
            <w:tcW w:w="992" w:type="dxa"/>
            <w:tcBorders>
              <w:top w:val="nil"/>
              <w:left w:val="single" w:sz="4" w:space="0" w:color="auto"/>
              <w:bottom w:val="single" w:sz="4" w:space="0" w:color="auto"/>
              <w:right w:val="nil"/>
            </w:tcBorders>
            <w:shd w:val="clear" w:color="auto" w:fill="auto"/>
            <w:vAlign w:val="center"/>
            <w:hideMark/>
          </w:tcPr>
          <w:p w:rsidR="008D765F" w:rsidRPr="006864C8" w:rsidRDefault="008D765F" w:rsidP="008D765F">
            <w:pPr>
              <w:jc w:val="center"/>
              <w:rPr>
                <w:sz w:val="16"/>
                <w:szCs w:val="16"/>
              </w:rPr>
            </w:pPr>
            <w:r w:rsidRPr="006864C8">
              <w:rPr>
                <w:sz w:val="16"/>
                <w:szCs w:val="16"/>
              </w:rPr>
              <w:t>11</w:t>
            </w:r>
          </w:p>
        </w:tc>
        <w:tc>
          <w:tcPr>
            <w:tcW w:w="993" w:type="dxa"/>
            <w:tcBorders>
              <w:top w:val="nil"/>
              <w:left w:val="single" w:sz="4" w:space="0" w:color="auto"/>
              <w:bottom w:val="single" w:sz="4" w:space="0" w:color="auto"/>
              <w:right w:val="nil"/>
            </w:tcBorders>
            <w:shd w:val="clear" w:color="auto" w:fill="auto"/>
            <w:vAlign w:val="center"/>
            <w:hideMark/>
          </w:tcPr>
          <w:p w:rsidR="008D765F" w:rsidRPr="006864C8" w:rsidRDefault="008D765F" w:rsidP="008D765F">
            <w:pPr>
              <w:jc w:val="center"/>
              <w:rPr>
                <w:sz w:val="16"/>
                <w:szCs w:val="16"/>
              </w:rPr>
            </w:pPr>
            <w:r w:rsidRPr="006864C8">
              <w:rPr>
                <w:sz w:val="16"/>
                <w:szCs w:val="16"/>
              </w:rPr>
              <w:t>12</w:t>
            </w:r>
          </w:p>
        </w:tc>
        <w:tc>
          <w:tcPr>
            <w:tcW w:w="1073" w:type="dxa"/>
            <w:tcBorders>
              <w:top w:val="nil"/>
              <w:left w:val="single" w:sz="4" w:space="0" w:color="auto"/>
              <w:bottom w:val="single" w:sz="4" w:space="0" w:color="auto"/>
              <w:right w:val="single" w:sz="4" w:space="0" w:color="auto"/>
            </w:tcBorders>
            <w:shd w:val="clear" w:color="auto" w:fill="auto"/>
            <w:vAlign w:val="center"/>
            <w:hideMark/>
          </w:tcPr>
          <w:p w:rsidR="008D765F" w:rsidRPr="006864C8" w:rsidRDefault="008D765F" w:rsidP="008D765F">
            <w:pPr>
              <w:jc w:val="center"/>
              <w:rPr>
                <w:sz w:val="16"/>
                <w:szCs w:val="16"/>
              </w:rPr>
            </w:pPr>
            <w:r w:rsidRPr="006864C8">
              <w:rPr>
                <w:sz w:val="16"/>
                <w:szCs w:val="16"/>
              </w:rPr>
              <w:t>13</w:t>
            </w:r>
          </w:p>
        </w:tc>
      </w:tr>
      <w:tr w:rsidR="008D765F" w:rsidRPr="00A660DF"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8D765F" w:rsidRPr="00DA1A27" w:rsidRDefault="008D765F" w:rsidP="008D765F">
            <w:pPr>
              <w:jc w:val="center"/>
              <w:rPr>
                <w:bCs/>
                <w:sz w:val="16"/>
                <w:szCs w:val="16"/>
              </w:rPr>
            </w:pPr>
            <w:r w:rsidRPr="00DA1A27">
              <w:rPr>
                <w:bCs/>
                <w:sz w:val="16"/>
                <w:szCs w:val="16"/>
              </w:rPr>
              <w:t>1</w:t>
            </w:r>
          </w:p>
        </w:tc>
        <w:tc>
          <w:tcPr>
            <w:tcW w:w="9139" w:type="dxa"/>
            <w:gridSpan w:val="9"/>
            <w:tcBorders>
              <w:top w:val="single" w:sz="4" w:space="0" w:color="auto"/>
              <w:left w:val="nil"/>
              <w:bottom w:val="single" w:sz="4" w:space="0" w:color="auto"/>
              <w:right w:val="nil"/>
            </w:tcBorders>
            <w:shd w:val="clear" w:color="auto" w:fill="auto"/>
            <w:noWrap/>
            <w:hideMark/>
          </w:tcPr>
          <w:p w:rsidR="008D765F" w:rsidRPr="00A660DF" w:rsidRDefault="008D765F" w:rsidP="008D765F">
            <w:pPr>
              <w:rPr>
                <w:iCs/>
                <w:sz w:val="16"/>
                <w:szCs w:val="16"/>
              </w:rPr>
            </w:pPr>
            <w:r w:rsidRPr="00A660DF">
              <w:rPr>
                <w:iCs/>
                <w:sz w:val="16"/>
                <w:szCs w:val="16"/>
              </w:rPr>
              <w:t>Население, за исключением указанного в пунктах 2 и 3 (тарифы указываются с учетом НДС)</w:t>
            </w:r>
          </w:p>
        </w:tc>
        <w:tc>
          <w:tcPr>
            <w:tcW w:w="912" w:type="dxa"/>
            <w:tcBorders>
              <w:top w:val="nil"/>
              <w:left w:val="nil"/>
              <w:bottom w:val="single" w:sz="4" w:space="0" w:color="auto"/>
              <w:right w:val="nil"/>
            </w:tcBorders>
            <w:shd w:val="clear" w:color="auto" w:fill="auto"/>
            <w:noWrap/>
            <w:hideMark/>
          </w:tcPr>
          <w:p w:rsidR="008D765F" w:rsidRPr="001E2223" w:rsidRDefault="008D765F" w:rsidP="008D765F">
            <w:pPr>
              <w:rPr>
                <w:i/>
                <w:iCs/>
                <w:sz w:val="16"/>
                <w:szCs w:val="16"/>
              </w:rPr>
            </w:pPr>
            <w:r w:rsidRPr="001E2223">
              <w:rPr>
                <w:i/>
                <w:iCs/>
                <w:sz w:val="16"/>
                <w:szCs w:val="16"/>
              </w:rPr>
              <w:t> </w:t>
            </w:r>
          </w:p>
        </w:tc>
        <w:tc>
          <w:tcPr>
            <w:tcW w:w="1297" w:type="dxa"/>
            <w:tcBorders>
              <w:top w:val="nil"/>
              <w:left w:val="nil"/>
              <w:bottom w:val="single" w:sz="4" w:space="0" w:color="auto"/>
              <w:right w:val="nil"/>
            </w:tcBorders>
            <w:shd w:val="clear" w:color="auto" w:fill="auto"/>
            <w:noWrap/>
            <w:hideMark/>
          </w:tcPr>
          <w:p w:rsidR="008D765F" w:rsidRPr="00A660DF" w:rsidRDefault="008D765F" w:rsidP="008D765F">
            <w:pPr>
              <w:rPr>
                <w:i/>
                <w:iCs/>
                <w:sz w:val="16"/>
                <w:szCs w:val="16"/>
              </w:rPr>
            </w:pPr>
            <w:r w:rsidRPr="00A660DF">
              <w:rPr>
                <w:i/>
                <w:iCs/>
                <w:sz w:val="16"/>
                <w:szCs w:val="16"/>
              </w:rPr>
              <w:t> </w:t>
            </w:r>
          </w:p>
        </w:tc>
        <w:tc>
          <w:tcPr>
            <w:tcW w:w="992" w:type="dxa"/>
            <w:tcBorders>
              <w:top w:val="nil"/>
              <w:left w:val="nil"/>
              <w:bottom w:val="single" w:sz="4" w:space="0" w:color="auto"/>
              <w:right w:val="nil"/>
            </w:tcBorders>
            <w:shd w:val="clear" w:color="auto" w:fill="auto"/>
            <w:noWrap/>
            <w:hideMark/>
          </w:tcPr>
          <w:p w:rsidR="008D765F" w:rsidRPr="00A660DF" w:rsidRDefault="008D765F" w:rsidP="008D765F">
            <w:pPr>
              <w:rPr>
                <w:i/>
                <w:iCs/>
                <w:sz w:val="16"/>
                <w:szCs w:val="16"/>
              </w:rPr>
            </w:pPr>
            <w:r w:rsidRPr="00A660DF">
              <w:rPr>
                <w:i/>
                <w:iCs/>
                <w:sz w:val="16"/>
                <w:szCs w:val="16"/>
              </w:rPr>
              <w:t> </w:t>
            </w:r>
          </w:p>
        </w:tc>
        <w:tc>
          <w:tcPr>
            <w:tcW w:w="993" w:type="dxa"/>
            <w:tcBorders>
              <w:top w:val="nil"/>
              <w:left w:val="nil"/>
              <w:bottom w:val="single" w:sz="4" w:space="0" w:color="auto"/>
              <w:right w:val="nil"/>
            </w:tcBorders>
            <w:shd w:val="clear" w:color="auto" w:fill="auto"/>
            <w:noWrap/>
            <w:hideMark/>
          </w:tcPr>
          <w:p w:rsidR="008D765F" w:rsidRPr="00A660DF" w:rsidRDefault="008D765F" w:rsidP="008D765F">
            <w:pPr>
              <w:rPr>
                <w:i/>
                <w:iCs/>
                <w:sz w:val="16"/>
                <w:szCs w:val="16"/>
              </w:rPr>
            </w:pPr>
            <w:r w:rsidRPr="00A660DF">
              <w:rPr>
                <w:i/>
                <w:iCs/>
                <w:sz w:val="16"/>
                <w:szCs w:val="16"/>
              </w:rPr>
              <w:t> </w:t>
            </w:r>
          </w:p>
        </w:tc>
        <w:tc>
          <w:tcPr>
            <w:tcW w:w="1073" w:type="dxa"/>
            <w:tcBorders>
              <w:top w:val="nil"/>
              <w:left w:val="nil"/>
              <w:bottom w:val="single" w:sz="4" w:space="0" w:color="auto"/>
              <w:right w:val="single" w:sz="4" w:space="0" w:color="auto"/>
            </w:tcBorders>
            <w:shd w:val="clear" w:color="auto" w:fill="auto"/>
            <w:noWrap/>
            <w:hideMark/>
          </w:tcPr>
          <w:p w:rsidR="008D765F" w:rsidRPr="00A660DF" w:rsidRDefault="008D765F" w:rsidP="008D765F">
            <w:pPr>
              <w:rPr>
                <w:i/>
                <w:iCs/>
              </w:rPr>
            </w:pPr>
            <w:r w:rsidRPr="00A660DF">
              <w:rPr>
                <w:i/>
                <w:iCs/>
              </w:rPr>
              <w:t> </w:t>
            </w:r>
          </w:p>
        </w:tc>
      </w:tr>
      <w:tr w:rsidR="008D765F" w:rsidRPr="00A660DF"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8D765F" w:rsidRPr="00A660DF" w:rsidRDefault="008D765F" w:rsidP="008D765F">
            <w:pPr>
              <w:jc w:val="center"/>
              <w:rPr>
                <w:bCs/>
                <w:sz w:val="16"/>
                <w:szCs w:val="16"/>
                <w:highlight w:val="lightGray"/>
              </w:rPr>
            </w:pPr>
            <w:r w:rsidRPr="00754E94">
              <w:rPr>
                <w:bCs/>
                <w:sz w:val="16"/>
                <w:szCs w:val="16"/>
              </w:rPr>
              <w:t>1.1</w:t>
            </w:r>
          </w:p>
        </w:tc>
        <w:tc>
          <w:tcPr>
            <w:tcW w:w="2337" w:type="dxa"/>
            <w:tcBorders>
              <w:top w:val="nil"/>
              <w:left w:val="nil"/>
              <w:bottom w:val="single" w:sz="4" w:space="0" w:color="auto"/>
              <w:right w:val="nil"/>
            </w:tcBorders>
            <w:shd w:val="clear" w:color="auto" w:fill="auto"/>
            <w:noWrap/>
            <w:hideMark/>
          </w:tcPr>
          <w:p w:rsidR="008D765F" w:rsidRPr="00A660DF" w:rsidRDefault="008D765F" w:rsidP="008D765F">
            <w:pPr>
              <w:rPr>
                <w:bCs/>
                <w:sz w:val="16"/>
                <w:szCs w:val="16"/>
              </w:rPr>
            </w:pPr>
            <w:r w:rsidRPr="00A660DF">
              <w:rPr>
                <w:bCs/>
                <w:sz w:val="16"/>
                <w:szCs w:val="16"/>
              </w:rPr>
              <w:t>Одноставочный тариф</w:t>
            </w:r>
          </w:p>
        </w:tc>
        <w:tc>
          <w:tcPr>
            <w:tcW w:w="1113" w:type="dxa"/>
            <w:tcBorders>
              <w:top w:val="nil"/>
              <w:left w:val="single" w:sz="4" w:space="0" w:color="auto"/>
              <w:bottom w:val="single" w:sz="4" w:space="0" w:color="auto"/>
              <w:right w:val="nil"/>
            </w:tcBorders>
            <w:shd w:val="clear" w:color="auto" w:fill="auto"/>
            <w:noWrap/>
            <w:hideMark/>
          </w:tcPr>
          <w:p w:rsidR="008D765F" w:rsidRPr="00A660DF" w:rsidRDefault="008D765F" w:rsidP="008D765F">
            <w:pPr>
              <w:rPr>
                <w:sz w:val="16"/>
                <w:szCs w:val="16"/>
              </w:rPr>
            </w:pPr>
            <w:r w:rsidRPr="00A660DF">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8D765F" w:rsidRPr="00A660DF" w:rsidRDefault="008D765F" w:rsidP="008D765F">
            <w:pPr>
              <w:jc w:val="center"/>
              <w:rPr>
                <w:sz w:val="16"/>
                <w:szCs w:val="16"/>
              </w:rPr>
            </w:pPr>
            <w:r w:rsidRPr="00A660DF">
              <w:rPr>
                <w:sz w:val="16"/>
                <w:szCs w:val="16"/>
              </w:rPr>
              <w:t>-</w:t>
            </w:r>
          </w:p>
        </w:tc>
        <w:tc>
          <w:tcPr>
            <w:tcW w:w="1394" w:type="dxa"/>
            <w:gridSpan w:val="2"/>
            <w:tcBorders>
              <w:top w:val="nil"/>
              <w:left w:val="single" w:sz="4" w:space="0" w:color="auto"/>
              <w:bottom w:val="single" w:sz="4" w:space="0" w:color="auto"/>
              <w:right w:val="nil"/>
            </w:tcBorders>
            <w:shd w:val="clear" w:color="auto" w:fill="auto"/>
            <w:noWrap/>
            <w:hideMark/>
          </w:tcPr>
          <w:p w:rsidR="008D765F" w:rsidRPr="00A660DF" w:rsidRDefault="008D765F" w:rsidP="008D765F">
            <w:pPr>
              <w:jc w:val="center"/>
              <w:rPr>
                <w:sz w:val="16"/>
                <w:szCs w:val="16"/>
              </w:rPr>
            </w:pPr>
            <w:r w:rsidRPr="00A660DF">
              <w:rPr>
                <w:sz w:val="16"/>
                <w:szCs w:val="16"/>
              </w:rPr>
              <w:t>-</w:t>
            </w:r>
          </w:p>
        </w:tc>
        <w:tc>
          <w:tcPr>
            <w:tcW w:w="1288" w:type="dxa"/>
            <w:gridSpan w:val="2"/>
            <w:tcBorders>
              <w:top w:val="nil"/>
              <w:left w:val="single" w:sz="4" w:space="0" w:color="auto"/>
              <w:bottom w:val="single" w:sz="4" w:space="0" w:color="auto"/>
              <w:right w:val="nil"/>
            </w:tcBorders>
            <w:shd w:val="clear" w:color="auto" w:fill="auto"/>
            <w:noWrap/>
            <w:hideMark/>
          </w:tcPr>
          <w:p w:rsidR="008D765F" w:rsidRPr="00A660DF" w:rsidRDefault="008D765F" w:rsidP="008D765F">
            <w:pPr>
              <w:jc w:val="center"/>
              <w:rPr>
                <w:sz w:val="16"/>
                <w:szCs w:val="16"/>
              </w:rPr>
            </w:pPr>
            <w:r w:rsidRPr="00A660DF">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8D765F" w:rsidRPr="00A660DF" w:rsidRDefault="008D765F" w:rsidP="008D765F">
            <w:pPr>
              <w:jc w:val="center"/>
              <w:rPr>
                <w:sz w:val="16"/>
                <w:szCs w:val="16"/>
              </w:rPr>
            </w:pPr>
            <w:r w:rsidRPr="00A660DF">
              <w:rPr>
                <w:sz w:val="16"/>
                <w:szCs w:val="16"/>
              </w:rPr>
              <w:t>-</w:t>
            </w:r>
          </w:p>
        </w:tc>
        <w:tc>
          <w:tcPr>
            <w:tcW w:w="1004" w:type="dxa"/>
            <w:tcBorders>
              <w:top w:val="nil"/>
              <w:left w:val="single" w:sz="4" w:space="0" w:color="auto"/>
              <w:bottom w:val="single" w:sz="4" w:space="0" w:color="auto"/>
              <w:right w:val="nil"/>
            </w:tcBorders>
            <w:shd w:val="clear" w:color="auto" w:fill="auto"/>
            <w:noWrap/>
            <w:hideMark/>
          </w:tcPr>
          <w:p w:rsidR="008D765F" w:rsidRPr="00A660DF" w:rsidRDefault="008D765F" w:rsidP="008D765F">
            <w:pPr>
              <w:jc w:val="center"/>
              <w:rPr>
                <w:sz w:val="16"/>
                <w:szCs w:val="16"/>
              </w:rPr>
            </w:pPr>
            <w:r w:rsidRPr="00A660DF">
              <w:rPr>
                <w:sz w:val="16"/>
                <w:szCs w:val="16"/>
              </w:rPr>
              <w:t>-</w:t>
            </w:r>
          </w:p>
        </w:tc>
        <w:tc>
          <w:tcPr>
            <w:tcW w:w="912" w:type="dxa"/>
            <w:tcBorders>
              <w:top w:val="nil"/>
              <w:left w:val="single" w:sz="4" w:space="0" w:color="auto"/>
              <w:bottom w:val="single" w:sz="4" w:space="0" w:color="auto"/>
              <w:right w:val="nil"/>
            </w:tcBorders>
            <w:shd w:val="clear" w:color="auto" w:fill="auto"/>
            <w:noWrap/>
            <w:vAlign w:val="center"/>
            <w:hideMark/>
          </w:tcPr>
          <w:p w:rsidR="008D765F" w:rsidRPr="001E2223" w:rsidRDefault="001E2223" w:rsidP="00D7336C">
            <w:pPr>
              <w:jc w:val="right"/>
            </w:pPr>
            <w:r w:rsidRPr="001E2223">
              <w:t>3,26</w:t>
            </w:r>
          </w:p>
        </w:tc>
        <w:tc>
          <w:tcPr>
            <w:tcW w:w="1297" w:type="dxa"/>
            <w:tcBorders>
              <w:top w:val="nil"/>
              <w:left w:val="single" w:sz="4" w:space="0" w:color="auto"/>
              <w:bottom w:val="single" w:sz="4" w:space="0" w:color="auto"/>
              <w:right w:val="nil"/>
            </w:tcBorders>
            <w:shd w:val="clear" w:color="auto" w:fill="auto"/>
            <w:noWrap/>
            <w:vAlign w:val="center"/>
            <w:hideMark/>
          </w:tcPr>
          <w:p w:rsidR="008D765F" w:rsidRPr="001E2223" w:rsidRDefault="001E2223" w:rsidP="00D7336C">
            <w:pPr>
              <w:jc w:val="right"/>
            </w:pPr>
            <w:r w:rsidRPr="001E2223">
              <w:t>1,6424</w:t>
            </w:r>
          </w:p>
        </w:tc>
        <w:tc>
          <w:tcPr>
            <w:tcW w:w="992" w:type="dxa"/>
            <w:tcBorders>
              <w:top w:val="nil"/>
              <w:left w:val="single" w:sz="4" w:space="0" w:color="auto"/>
              <w:bottom w:val="single" w:sz="4" w:space="0" w:color="auto"/>
              <w:right w:val="nil"/>
            </w:tcBorders>
            <w:shd w:val="clear" w:color="auto" w:fill="auto"/>
            <w:noWrap/>
            <w:vAlign w:val="center"/>
            <w:hideMark/>
          </w:tcPr>
          <w:p w:rsidR="008D765F" w:rsidRPr="001E2223" w:rsidRDefault="001E2223" w:rsidP="00D7336C">
            <w:pPr>
              <w:jc w:val="right"/>
            </w:pPr>
            <w:r w:rsidRPr="001E2223">
              <w:t>1,2145</w:t>
            </w:r>
          </w:p>
        </w:tc>
        <w:tc>
          <w:tcPr>
            <w:tcW w:w="993" w:type="dxa"/>
            <w:tcBorders>
              <w:top w:val="nil"/>
              <w:left w:val="single" w:sz="4" w:space="0" w:color="auto"/>
              <w:bottom w:val="single" w:sz="4" w:space="0" w:color="auto"/>
              <w:right w:val="nil"/>
            </w:tcBorders>
            <w:shd w:val="clear" w:color="auto" w:fill="auto"/>
            <w:noWrap/>
            <w:vAlign w:val="center"/>
            <w:hideMark/>
          </w:tcPr>
          <w:p w:rsidR="008D765F" w:rsidRPr="001E2223" w:rsidRDefault="001E2223" w:rsidP="00D7336C">
            <w:pPr>
              <w:jc w:val="right"/>
            </w:pPr>
            <w:r w:rsidRPr="001E2223">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D765F" w:rsidRPr="001E2223" w:rsidRDefault="001E2223" w:rsidP="00D7336C">
            <w:pPr>
              <w:jc w:val="right"/>
            </w:pPr>
            <w:r w:rsidRPr="001E2223">
              <w:t>0,3999</w:t>
            </w:r>
          </w:p>
        </w:tc>
      </w:tr>
      <w:tr w:rsidR="008D765F" w:rsidRPr="003C65EC" w:rsidTr="009F24A2">
        <w:trPr>
          <w:gridAfter w:val="4"/>
          <w:wAfter w:w="4292" w:type="dxa"/>
          <w:trHeight w:val="330"/>
        </w:trPr>
        <w:tc>
          <w:tcPr>
            <w:tcW w:w="711" w:type="dxa"/>
            <w:tcBorders>
              <w:top w:val="nil"/>
              <w:left w:val="single" w:sz="4" w:space="0" w:color="auto"/>
              <w:bottom w:val="single" w:sz="4" w:space="0" w:color="auto"/>
              <w:right w:val="single" w:sz="4" w:space="0" w:color="auto"/>
            </w:tcBorders>
            <w:shd w:val="clear" w:color="auto" w:fill="auto"/>
            <w:noWrap/>
            <w:hideMark/>
          </w:tcPr>
          <w:p w:rsidR="008D765F" w:rsidRPr="00DA1A27" w:rsidRDefault="008D765F" w:rsidP="008D765F">
            <w:pPr>
              <w:jc w:val="center"/>
              <w:rPr>
                <w:bCs/>
                <w:sz w:val="16"/>
                <w:szCs w:val="16"/>
              </w:rPr>
            </w:pPr>
            <w:r w:rsidRPr="00DA1A27">
              <w:rPr>
                <w:bCs/>
                <w:sz w:val="16"/>
                <w:szCs w:val="16"/>
              </w:rPr>
              <w:t>1.2</w:t>
            </w:r>
          </w:p>
        </w:tc>
        <w:tc>
          <w:tcPr>
            <w:tcW w:w="5935" w:type="dxa"/>
            <w:gridSpan w:val="5"/>
            <w:tcBorders>
              <w:top w:val="single" w:sz="4" w:space="0" w:color="auto"/>
              <w:left w:val="nil"/>
              <w:bottom w:val="single" w:sz="4" w:space="0" w:color="auto"/>
              <w:right w:val="nil"/>
            </w:tcBorders>
            <w:shd w:val="clear" w:color="auto" w:fill="auto"/>
            <w:noWrap/>
            <w:hideMark/>
          </w:tcPr>
          <w:p w:rsidR="008D765F" w:rsidRPr="00DA1A27" w:rsidRDefault="008D765F" w:rsidP="00D7336C">
            <w:pPr>
              <w:rPr>
                <w:bCs/>
                <w:sz w:val="16"/>
                <w:szCs w:val="16"/>
              </w:rPr>
            </w:pPr>
            <w:r w:rsidRPr="00DA1A27">
              <w:rPr>
                <w:bCs/>
                <w:sz w:val="16"/>
                <w:szCs w:val="16"/>
              </w:rPr>
              <w:t xml:space="preserve">Одноставочный тариф, дифференцированный по двум зонам суток </w:t>
            </w:r>
            <w:r w:rsidR="00D7336C">
              <w:rPr>
                <w:bCs/>
                <w:sz w:val="16"/>
                <w:szCs w:val="16"/>
                <w:vertAlign w:val="superscript"/>
              </w:rPr>
              <w:t>*</w:t>
            </w:r>
          </w:p>
        </w:tc>
        <w:tc>
          <w:tcPr>
            <w:tcW w:w="1288" w:type="dxa"/>
            <w:gridSpan w:val="2"/>
            <w:tcBorders>
              <w:top w:val="nil"/>
              <w:left w:val="nil"/>
              <w:bottom w:val="single" w:sz="4" w:space="0" w:color="auto"/>
              <w:right w:val="nil"/>
            </w:tcBorders>
            <w:shd w:val="clear" w:color="auto" w:fill="auto"/>
            <w:noWrap/>
            <w:hideMark/>
          </w:tcPr>
          <w:p w:rsidR="008D765F" w:rsidRPr="00DA1A27" w:rsidRDefault="008D765F" w:rsidP="008D765F">
            <w:pPr>
              <w:jc w:val="center"/>
              <w:rPr>
                <w:bCs/>
                <w:sz w:val="16"/>
                <w:szCs w:val="16"/>
              </w:rPr>
            </w:pPr>
          </w:p>
        </w:tc>
        <w:tc>
          <w:tcPr>
            <w:tcW w:w="912" w:type="dxa"/>
            <w:tcBorders>
              <w:top w:val="nil"/>
              <w:left w:val="nil"/>
              <w:bottom w:val="single" w:sz="4" w:space="0" w:color="auto"/>
              <w:right w:val="nil"/>
            </w:tcBorders>
            <w:shd w:val="clear" w:color="auto" w:fill="auto"/>
            <w:noWrap/>
            <w:hideMark/>
          </w:tcPr>
          <w:p w:rsidR="008D765F" w:rsidRPr="00DA1A27" w:rsidRDefault="008D765F" w:rsidP="008D765F">
            <w:pPr>
              <w:jc w:val="center"/>
              <w:rPr>
                <w:bCs/>
                <w:sz w:val="16"/>
                <w:szCs w:val="16"/>
              </w:rPr>
            </w:pPr>
          </w:p>
        </w:tc>
        <w:tc>
          <w:tcPr>
            <w:tcW w:w="1004" w:type="dxa"/>
            <w:tcBorders>
              <w:top w:val="nil"/>
              <w:left w:val="nil"/>
              <w:bottom w:val="single" w:sz="4" w:space="0" w:color="auto"/>
              <w:right w:val="nil"/>
            </w:tcBorders>
            <w:shd w:val="clear" w:color="auto" w:fill="auto"/>
            <w:noWrap/>
            <w:hideMark/>
          </w:tcPr>
          <w:p w:rsidR="008D765F" w:rsidRPr="00DA1A27" w:rsidRDefault="008D765F" w:rsidP="008D765F">
            <w:pPr>
              <w:jc w:val="center"/>
              <w:rPr>
                <w:bCs/>
                <w:sz w:val="16"/>
                <w:szCs w:val="16"/>
              </w:rPr>
            </w:pPr>
          </w:p>
        </w:tc>
        <w:tc>
          <w:tcPr>
            <w:tcW w:w="912" w:type="dxa"/>
            <w:tcBorders>
              <w:top w:val="nil"/>
              <w:left w:val="nil"/>
              <w:bottom w:val="single" w:sz="4" w:space="0" w:color="auto"/>
              <w:right w:val="nil"/>
            </w:tcBorders>
            <w:shd w:val="clear" w:color="auto" w:fill="auto"/>
            <w:noWrap/>
            <w:vAlign w:val="center"/>
            <w:hideMark/>
          </w:tcPr>
          <w:p w:rsidR="008D765F" w:rsidRPr="001E2223" w:rsidRDefault="008D765F" w:rsidP="00D7336C">
            <w:pPr>
              <w:jc w:val="right"/>
              <w:rPr>
                <w:bCs/>
              </w:rPr>
            </w:pPr>
          </w:p>
        </w:tc>
        <w:tc>
          <w:tcPr>
            <w:tcW w:w="1297" w:type="dxa"/>
            <w:tcBorders>
              <w:top w:val="nil"/>
              <w:left w:val="nil"/>
              <w:bottom w:val="single" w:sz="4" w:space="0" w:color="auto"/>
              <w:right w:val="nil"/>
            </w:tcBorders>
            <w:shd w:val="clear" w:color="auto" w:fill="auto"/>
            <w:noWrap/>
            <w:vAlign w:val="center"/>
            <w:hideMark/>
          </w:tcPr>
          <w:p w:rsidR="008D765F" w:rsidRPr="001E2223" w:rsidRDefault="008D765F" w:rsidP="00D7336C">
            <w:pPr>
              <w:jc w:val="right"/>
              <w:rPr>
                <w:bCs/>
              </w:rPr>
            </w:pPr>
          </w:p>
        </w:tc>
        <w:tc>
          <w:tcPr>
            <w:tcW w:w="992" w:type="dxa"/>
            <w:tcBorders>
              <w:top w:val="nil"/>
              <w:left w:val="nil"/>
              <w:bottom w:val="single" w:sz="4" w:space="0" w:color="auto"/>
              <w:right w:val="nil"/>
            </w:tcBorders>
            <w:shd w:val="clear" w:color="auto" w:fill="auto"/>
            <w:noWrap/>
            <w:vAlign w:val="center"/>
            <w:hideMark/>
          </w:tcPr>
          <w:p w:rsidR="008D765F" w:rsidRPr="001E2223" w:rsidRDefault="008D765F" w:rsidP="00D7336C">
            <w:pPr>
              <w:jc w:val="right"/>
              <w:rPr>
                <w:bCs/>
              </w:rPr>
            </w:pPr>
          </w:p>
        </w:tc>
        <w:tc>
          <w:tcPr>
            <w:tcW w:w="993" w:type="dxa"/>
            <w:tcBorders>
              <w:top w:val="nil"/>
              <w:left w:val="nil"/>
              <w:bottom w:val="single" w:sz="4" w:space="0" w:color="auto"/>
              <w:right w:val="nil"/>
            </w:tcBorders>
            <w:shd w:val="clear" w:color="auto" w:fill="auto"/>
            <w:noWrap/>
            <w:vAlign w:val="center"/>
            <w:hideMark/>
          </w:tcPr>
          <w:p w:rsidR="008D765F" w:rsidRPr="001E2223" w:rsidRDefault="008D765F" w:rsidP="00D7336C">
            <w:pPr>
              <w:jc w:val="right"/>
              <w:rPr>
                <w:bCs/>
              </w:rPr>
            </w:pPr>
          </w:p>
        </w:tc>
        <w:tc>
          <w:tcPr>
            <w:tcW w:w="1073" w:type="dxa"/>
            <w:tcBorders>
              <w:top w:val="nil"/>
              <w:left w:val="nil"/>
              <w:bottom w:val="single" w:sz="4" w:space="0" w:color="auto"/>
              <w:right w:val="single" w:sz="4" w:space="0" w:color="auto"/>
            </w:tcBorders>
            <w:shd w:val="clear" w:color="auto" w:fill="auto"/>
            <w:noWrap/>
            <w:vAlign w:val="center"/>
            <w:hideMark/>
          </w:tcPr>
          <w:p w:rsidR="008D765F" w:rsidRPr="001E2223" w:rsidRDefault="008D765F" w:rsidP="00D7336C">
            <w:pPr>
              <w:jc w:val="right"/>
              <w:rPr>
                <w:bCs/>
              </w:rPr>
            </w:pPr>
          </w:p>
        </w:tc>
      </w:tr>
      <w:tr w:rsidR="008D765F" w:rsidRPr="003C65EC"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8D765F" w:rsidRPr="00DA1A27" w:rsidRDefault="008D765F" w:rsidP="008D765F">
            <w:pPr>
              <w:jc w:val="center"/>
              <w:rPr>
                <w:bCs/>
                <w:sz w:val="16"/>
                <w:szCs w:val="16"/>
              </w:rPr>
            </w:pPr>
            <w:r w:rsidRPr="00DA1A27">
              <w:rPr>
                <w:bCs/>
                <w:sz w:val="16"/>
                <w:szCs w:val="16"/>
              </w:rPr>
              <w:t>1.2.1</w:t>
            </w:r>
          </w:p>
        </w:tc>
        <w:tc>
          <w:tcPr>
            <w:tcW w:w="2337" w:type="dxa"/>
            <w:tcBorders>
              <w:top w:val="nil"/>
              <w:left w:val="nil"/>
              <w:bottom w:val="single" w:sz="4" w:space="0" w:color="auto"/>
              <w:right w:val="nil"/>
            </w:tcBorders>
            <w:shd w:val="clear" w:color="auto" w:fill="auto"/>
            <w:noWrap/>
            <w:hideMark/>
          </w:tcPr>
          <w:p w:rsidR="008D765F" w:rsidRPr="00DA1A27" w:rsidRDefault="008D765F" w:rsidP="008D765F">
            <w:pPr>
              <w:rPr>
                <w:sz w:val="16"/>
                <w:szCs w:val="16"/>
              </w:rPr>
            </w:pPr>
            <w:r w:rsidRPr="00DA1A27">
              <w:rPr>
                <w:sz w:val="16"/>
                <w:szCs w:val="16"/>
              </w:rPr>
              <w:t>Дневная зона (пиковая и полупиковая)</w:t>
            </w:r>
          </w:p>
        </w:tc>
        <w:tc>
          <w:tcPr>
            <w:tcW w:w="1113" w:type="dxa"/>
            <w:tcBorders>
              <w:top w:val="nil"/>
              <w:left w:val="single" w:sz="4" w:space="0" w:color="auto"/>
              <w:bottom w:val="single" w:sz="4" w:space="0" w:color="auto"/>
              <w:right w:val="nil"/>
            </w:tcBorders>
            <w:shd w:val="clear" w:color="auto" w:fill="auto"/>
            <w:noWrap/>
            <w:hideMark/>
          </w:tcPr>
          <w:p w:rsidR="008D765F" w:rsidRPr="00DA1A27" w:rsidRDefault="008D765F" w:rsidP="008D765F">
            <w:pPr>
              <w:rPr>
                <w:sz w:val="16"/>
                <w:szCs w:val="16"/>
              </w:rPr>
            </w:pPr>
            <w:r w:rsidRPr="00DA1A27">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8D765F" w:rsidRPr="00DA1A27" w:rsidRDefault="008D765F" w:rsidP="008D765F">
            <w:pPr>
              <w:jc w:val="center"/>
              <w:rPr>
                <w:sz w:val="16"/>
                <w:szCs w:val="16"/>
              </w:rPr>
            </w:pPr>
            <w:r>
              <w:rPr>
                <w:sz w:val="16"/>
                <w:szCs w:val="16"/>
              </w:rPr>
              <w:t>-</w:t>
            </w:r>
          </w:p>
        </w:tc>
        <w:tc>
          <w:tcPr>
            <w:tcW w:w="1394" w:type="dxa"/>
            <w:gridSpan w:val="2"/>
            <w:tcBorders>
              <w:top w:val="nil"/>
              <w:left w:val="single" w:sz="4" w:space="0" w:color="auto"/>
              <w:bottom w:val="single" w:sz="4" w:space="0" w:color="auto"/>
              <w:right w:val="nil"/>
            </w:tcBorders>
            <w:shd w:val="clear" w:color="auto" w:fill="auto"/>
            <w:noWrap/>
            <w:hideMark/>
          </w:tcPr>
          <w:p w:rsidR="008D765F" w:rsidRPr="00DA1A27" w:rsidRDefault="008D765F" w:rsidP="008D765F">
            <w:pPr>
              <w:jc w:val="center"/>
              <w:rPr>
                <w:sz w:val="16"/>
                <w:szCs w:val="16"/>
              </w:rPr>
            </w:pPr>
            <w:r>
              <w:rPr>
                <w:sz w:val="16"/>
                <w:szCs w:val="16"/>
              </w:rPr>
              <w:t>-</w:t>
            </w:r>
          </w:p>
        </w:tc>
        <w:tc>
          <w:tcPr>
            <w:tcW w:w="1288" w:type="dxa"/>
            <w:gridSpan w:val="2"/>
            <w:tcBorders>
              <w:top w:val="nil"/>
              <w:left w:val="single" w:sz="4" w:space="0" w:color="auto"/>
              <w:bottom w:val="single" w:sz="4" w:space="0" w:color="auto"/>
              <w:right w:val="nil"/>
            </w:tcBorders>
            <w:shd w:val="clear" w:color="auto" w:fill="auto"/>
            <w:noWrap/>
            <w:hideMark/>
          </w:tcPr>
          <w:p w:rsidR="008D765F" w:rsidRPr="00DA1A27" w:rsidRDefault="008D765F"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8D765F" w:rsidRPr="00DA1A27" w:rsidRDefault="008D765F" w:rsidP="008D765F">
            <w:pPr>
              <w:jc w:val="center"/>
              <w:rPr>
                <w:sz w:val="16"/>
                <w:szCs w:val="16"/>
              </w:rPr>
            </w:pPr>
            <w:r>
              <w:rPr>
                <w:sz w:val="16"/>
                <w:szCs w:val="16"/>
              </w:rPr>
              <w:t>-</w:t>
            </w:r>
          </w:p>
        </w:tc>
        <w:tc>
          <w:tcPr>
            <w:tcW w:w="1004" w:type="dxa"/>
            <w:tcBorders>
              <w:top w:val="nil"/>
              <w:left w:val="single" w:sz="4" w:space="0" w:color="auto"/>
              <w:bottom w:val="single" w:sz="4" w:space="0" w:color="auto"/>
              <w:right w:val="nil"/>
            </w:tcBorders>
            <w:shd w:val="clear" w:color="auto" w:fill="auto"/>
            <w:noWrap/>
            <w:hideMark/>
          </w:tcPr>
          <w:p w:rsidR="008D765F" w:rsidRPr="00DA1A27" w:rsidRDefault="008D765F"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vAlign w:val="center"/>
            <w:hideMark/>
          </w:tcPr>
          <w:p w:rsidR="008D765F" w:rsidRPr="001E2223" w:rsidRDefault="009F24A2" w:rsidP="00D7336C">
            <w:pPr>
              <w:jc w:val="right"/>
            </w:pPr>
            <w:r>
              <w:t>3,5</w:t>
            </w:r>
            <w:r w:rsidR="008E6383">
              <w:t>3</w:t>
            </w:r>
          </w:p>
        </w:tc>
        <w:tc>
          <w:tcPr>
            <w:tcW w:w="1297" w:type="dxa"/>
            <w:tcBorders>
              <w:top w:val="nil"/>
              <w:left w:val="single" w:sz="4" w:space="0" w:color="auto"/>
              <w:bottom w:val="single" w:sz="4" w:space="0" w:color="auto"/>
              <w:right w:val="nil"/>
            </w:tcBorders>
            <w:shd w:val="clear" w:color="auto" w:fill="auto"/>
            <w:noWrap/>
            <w:vAlign w:val="center"/>
            <w:hideMark/>
          </w:tcPr>
          <w:p w:rsidR="008D765F" w:rsidRPr="001E2223" w:rsidRDefault="009F24A2" w:rsidP="00D7336C">
            <w:pPr>
              <w:jc w:val="right"/>
            </w:pPr>
            <w:r>
              <w:t>1,9083</w:t>
            </w:r>
          </w:p>
        </w:tc>
        <w:tc>
          <w:tcPr>
            <w:tcW w:w="992" w:type="dxa"/>
            <w:tcBorders>
              <w:top w:val="nil"/>
              <w:left w:val="single" w:sz="4" w:space="0" w:color="auto"/>
              <w:bottom w:val="single" w:sz="4" w:space="0" w:color="auto"/>
              <w:right w:val="nil"/>
            </w:tcBorders>
            <w:shd w:val="clear" w:color="auto" w:fill="auto"/>
            <w:noWrap/>
            <w:vAlign w:val="center"/>
            <w:hideMark/>
          </w:tcPr>
          <w:p w:rsidR="008D765F" w:rsidRPr="001E2223" w:rsidRDefault="009F24A2" w:rsidP="00D7336C">
            <w:pPr>
              <w:jc w:val="right"/>
            </w:pPr>
            <w:r>
              <w:t>1,2145</w:t>
            </w:r>
          </w:p>
        </w:tc>
        <w:tc>
          <w:tcPr>
            <w:tcW w:w="993" w:type="dxa"/>
            <w:tcBorders>
              <w:top w:val="nil"/>
              <w:left w:val="single" w:sz="4" w:space="0" w:color="auto"/>
              <w:bottom w:val="single" w:sz="4" w:space="0" w:color="auto"/>
              <w:right w:val="nil"/>
            </w:tcBorders>
            <w:shd w:val="clear" w:color="auto" w:fill="auto"/>
            <w:noWrap/>
            <w:vAlign w:val="center"/>
            <w:hideMark/>
          </w:tcPr>
          <w:p w:rsidR="008D765F" w:rsidRPr="001E2223" w:rsidRDefault="009F24A2" w:rsidP="00D7336C">
            <w:pPr>
              <w:jc w:val="right"/>
            </w:pPr>
            <w:r>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D765F" w:rsidRPr="001E2223" w:rsidRDefault="009F24A2" w:rsidP="00D7336C">
            <w:pPr>
              <w:jc w:val="right"/>
            </w:pPr>
            <w:r>
              <w:t>0,3999</w:t>
            </w:r>
          </w:p>
        </w:tc>
      </w:tr>
      <w:tr w:rsidR="008D765F" w:rsidRPr="003C65EC"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8D765F" w:rsidRPr="00DA1A27" w:rsidRDefault="008D765F" w:rsidP="008D765F">
            <w:pPr>
              <w:jc w:val="center"/>
              <w:rPr>
                <w:bCs/>
                <w:sz w:val="16"/>
                <w:szCs w:val="16"/>
              </w:rPr>
            </w:pPr>
            <w:r w:rsidRPr="00DA1A27">
              <w:rPr>
                <w:bCs/>
                <w:sz w:val="16"/>
                <w:szCs w:val="16"/>
              </w:rPr>
              <w:t>1.2.2</w:t>
            </w:r>
          </w:p>
        </w:tc>
        <w:tc>
          <w:tcPr>
            <w:tcW w:w="2337" w:type="dxa"/>
            <w:tcBorders>
              <w:top w:val="nil"/>
              <w:left w:val="nil"/>
              <w:bottom w:val="single" w:sz="4" w:space="0" w:color="auto"/>
              <w:right w:val="nil"/>
            </w:tcBorders>
            <w:shd w:val="clear" w:color="auto" w:fill="auto"/>
            <w:noWrap/>
            <w:hideMark/>
          </w:tcPr>
          <w:p w:rsidR="008D765F" w:rsidRPr="00DA1A27" w:rsidRDefault="008D765F" w:rsidP="008D765F">
            <w:pPr>
              <w:rPr>
                <w:sz w:val="16"/>
                <w:szCs w:val="16"/>
              </w:rPr>
            </w:pPr>
            <w:r w:rsidRPr="00DA1A27">
              <w:rPr>
                <w:sz w:val="16"/>
                <w:szCs w:val="16"/>
              </w:rPr>
              <w:t>Ночная зона</w:t>
            </w:r>
          </w:p>
        </w:tc>
        <w:tc>
          <w:tcPr>
            <w:tcW w:w="1113" w:type="dxa"/>
            <w:tcBorders>
              <w:top w:val="nil"/>
              <w:left w:val="single" w:sz="4" w:space="0" w:color="auto"/>
              <w:bottom w:val="single" w:sz="4" w:space="0" w:color="auto"/>
              <w:right w:val="nil"/>
            </w:tcBorders>
            <w:shd w:val="clear" w:color="auto" w:fill="auto"/>
            <w:noWrap/>
            <w:hideMark/>
          </w:tcPr>
          <w:p w:rsidR="008D765F" w:rsidRPr="00DA1A27" w:rsidRDefault="008D765F" w:rsidP="008D765F">
            <w:pPr>
              <w:rPr>
                <w:sz w:val="16"/>
                <w:szCs w:val="16"/>
              </w:rPr>
            </w:pPr>
            <w:r w:rsidRPr="00DA1A27">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8D765F" w:rsidRPr="00DA1A27" w:rsidRDefault="008D765F" w:rsidP="008D765F">
            <w:pPr>
              <w:jc w:val="center"/>
              <w:rPr>
                <w:sz w:val="16"/>
                <w:szCs w:val="16"/>
              </w:rPr>
            </w:pPr>
          </w:p>
        </w:tc>
        <w:tc>
          <w:tcPr>
            <w:tcW w:w="1394" w:type="dxa"/>
            <w:gridSpan w:val="2"/>
            <w:tcBorders>
              <w:top w:val="nil"/>
              <w:left w:val="single" w:sz="4" w:space="0" w:color="auto"/>
              <w:bottom w:val="single" w:sz="4" w:space="0" w:color="auto"/>
              <w:right w:val="nil"/>
            </w:tcBorders>
            <w:shd w:val="clear" w:color="auto" w:fill="auto"/>
            <w:noWrap/>
            <w:hideMark/>
          </w:tcPr>
          <w:p w:rsidR="008D765F" w:rsidRPr="00DA1A27" w:rsidRDefault="008D765F" w:rsidP="008D765F">
            <w:pPr>
              <w:jc w:val="center"/>
              <w:rPr>
                <w:sz w:val="16"/>
                <w:szCs w:val="16"/>
              </w:rPr>
            </w:pPr>
          </w:p>
        </w:tc>
        <w:tc>
          <w:tcPr>
            <w:tcW w:w="1288" w:type="dxa"/>
            <w:gridSpan w:val="2"/>
            <w:tcBorders>
              <w:top w:val="nil"/>
              <w:left w:val="single" w:sz="4" w:space="0" w:color="auto"/>
              <w:bottom w:val="single" w:sz="4" w:space="0" w:color="auto"/>
              <w:right w:val="nil"/>
            </w:tcBorders>
            <w:shd w:val="clear" w:color="auto" w:fill="auto"/>
            <w:noWrap/>
            <w:hideMark/>
          </w:tcPr>
          <w:p w:rsidR="008D765F" w:rsidRPr="00DA1A27" w:rsidRDefault="008D765F" w:rsidP="008D765F">
            <w:pPr>
              <w:jc w:val="center"/>
              <w:rPr>
                <w:sz w:val="16"/>
                <w:szCs w:val="16"/>
              </w:rPr>
            </w:pPr>
          </w:p>
        </w:tc>
        <w:tc>
          <w:tcPr>
            <w:tcW w:w="912" w:type="dxa"/>
            <w:tcBorders>
              <w:top w:val="nil"/>
              <w:left w:val="single" w:sz="4" w:space="0" w:color="auto"/>
              <w:bottom w:val="single" w:sz="4" w:space="0" w:color="auto"/>
              <w:right w:val="nil"/>
            </w:tcBorders>
            <w:shd w:val="clear" w:color="auto" w:fill="auto"/>
            <w:noWrap/>
            <w:hideMark/>
          </w:tcPr>
          <w:p w:rsidR="008D765F" w:rsidRPr="00DA1A27" w:rsidRDefault="008D765F" w:rsidP="008D765F">
            <w:pPr>
              <w:jc w:val="center"/>
              <w:rPr>
                <w:sz w:val="16"/>
                <w:szCs w:val="16"/>
              </w:rPr>
            </w:pPr>
          </w:p>
        </w:tc>
        <w:tc>
          <w:tcPr>
            <w:tcW w:w="1004" w:type="dxa"/>
            <w:tcBorders>
              <w:top w:val="nil"/>
              <w:left w:val="single" w:sz="4" w:space="0" w:color="auto"/>
              <w:bottom w:val="single" w:sz="4" w:space="0" w:color="auto"/>
              <w:right w:val="nil"/>
            </w:tcBorders>
            <w:shd w:val="clear" w:color="auto" w:fill="auto"/>
            <w:noWrap/>
            <w:hideMark/>
          </w:tcPr>
          <w:p w:rsidR="008D765F" w:rsidRPr="00DA1A27" w:rsidRDefault="008D765F" w:rsidP="008D765F">
            <w:pPr>
              <w:jc w:val="center"/>
              <w:rPr>
                <w:sz w:val="16"/>
                <w:szCs w:val="16"/>
              </w:rPr>
            </w:pPr>
          </w:p>
        </w:tc>
        <w:tc>
          <w:tcPr>
            <w:tcW w:w="912" w:type="dxa"/>
            <w:tcBorders>
              <w:top w:val="nil"/>
              <w:left w:val="single" w:sz="4" w:space="0" w:color="auto"/>
              <w:bottom w:val="single" w:sz="4" w:space="0" w:color="auto"/>
              <w:right w:val="nil"/>
            </w:tcBorders>
            <w:shd w:val="clear" w:color="auto" w:fill="auto"/>
            <w:noWrap/>
            <w:vAlign w:val="center"/>
            <w:hideMark/>
          </w:tcPr>
          <w:p w:rsidR="008D765F" w:rsidRPr="001E2223" w:rsidRDefault="009F24A2" w:rsidP="00D7336C">
            <w:pPr>
              <w:jc w:val="right"/>
            </w:pPr>
            <w:r>
              <w:t>2,</w:t>
            </w:r>
            <w:r w:rsidR="008E6383">
              <w:t>32</w:t>
            </w:r>
          </w:p>
        </w:tc>
        <w:tc>
          <w:tcPr>
            <w:tcW w:w="1297" w:type="dxa"/>
            <w:tcBorders>
              <w:top w:val="nil"/>
              <w:left w:val="single" w:sz="4" w:space="0" w:color="auto"/>
              <w:bottom w:val="single" w:sz="4" w:space="0" w:color="auto"/>
              <w:right w:val="nil"/>
            </w:tcBorders>
            <w:shd w:val="clear" w:color="auto" w:fill="auto"/>
            <w:noWrap/>
            <w:vAlign w:val="center"/>
            <w:hideMark/>
          </w:tcPr>
          <w:p w:rsidR="008D765F" w:rsidRPr="001E2223" w:rsidRDefault="009F24A2" w:rsidP="00D7336C">
            <w:pPr>
              <w:jc w:val="right"/>
            </w:pPr>
            <w:r>
              <w:t>0,9254</w:t>
            </w:r>
          </w:p>
        </w:tc>
        <w:tc>
          <w:tcPr>
            <w:tcW w:w="992" w:type="dxa"/>
            <w:tcBorders>
              <w:top w:val="nil"/>
              <w:left w:val="single" w:sz="4" w:space="0" w:color="auto"/>
              <w:bottom w:val="single" w:sz="4" w:space="0" w:color="auto"/>
              <w:right w:val="nil"/>
            </w:tcBorders>
            <w:shd w:val="clear" w:color="auto" w:fill="auto"/>
            <w:noWrap/>
            <w:vAlign w:val="center"/>
            <w:hideMark/>
          </w:tcPr>
          <w:p w:rsidR="008D765F" w:rsidRPr="001E2223" w:rsidRDefault="008E6383" w:rsidP="00D7336C">
            <w:pPr>
              <w:jc w:val="right"/>
            </w:pPr>
            <w:r>
              <w:t>0,9945</w:t>
            </w:r>
          </w:p>
        </w:tc>
        <w:tc>
          <w:tcPr>
            <w:tcW w:w="993" w:type="dxa"/>
            <w:tcBorders>
              <w:top w:val="nil"/>
              <w:left w:val="single" w:sz="4" w:space="0" w:color="auto"/>
              <w:bottom w:val="single" w:sz="4" w:space="0" w:color="auto"/>
              <w:right w:val="nil"/>
            </w:tcBorders>
            <w:shd w:val="clear" w:color="auto" w:fill="auto"/>
            <w:noWrap/>
            <w:vAlign w:val="center"/>
            <w:hideMark/>
          </w:tcPr>
          <w:p w:rsidR="008D765F" w:rsidRPr="001E2223" w:rsidRDefault="009F24A2" w:rsidP="00D7336C">
            <w:pPr>
              <w:jc w:val="right"/>
            </w:pPr>
            <w:r>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D765F" w:rsidRPr="001E2223" w:rsidRDefault="009F24A2" w:rsidP="00D7336C">
            <w:pPr>
              <w:jc w:val="right"/>
            </w:pPr>
            <w:r>
              <w:t>0,3999</w:t>
            </w:r>
          </w:p>
        </w:tc>
      </w:tr>
      <w:tr w:rsidR="008D765F" w:rsidRPr="003C65EC" w:rsidTr="009F24A2">
        <w:trPr>
          <w:gridAfter w:val="4"/>
          <w:wAfter w:w="4292" w:type="dxa"/>
          <w:trHeight w:val="330"/>
        </w:trPr>
        <w:tc>
          <w:tcPr>
            <w:tcW w:w="711" w:type="dxa"/>
            <w:tcBorders>
              <w:top w:val="nil"/>
              <w:left w:val="single" w:sz="4" w:space="0" w:color="auto"/>
              <w:bottom w:val="single" w:sz="4" w:space="0" w:color="auto"/>
              <w:right w:val="single" w:sz="4" w:space="0" w:color="auto"/>
            </w:tcBorders>
            <w:shd w:val="clear" w:color="auto" w:fill="auto"/>
            <w:noWrap/>
            <w:hideMark/>
          </w:tcPr>
          <w:p w:rsidR="008D765F" w:rsidRPr="00DA1A27" w:rsidRDefault="008D765F" w:rsidP="008D765F">
            <w:pPr>
              <w:jc w:val="center"/>
              <w:rPr>
                <w:bCs/>
                <w:sz w:val="16"/>
                <w:szCs w:val="16"/>
              </w:rPr>
            </w:pPr>
            <w:r w:rsidRPr="00DA1A27">
              <w:rPr>
                <w:bCs/>
                <w:sz w:val="16"/>
                <w:szCs w:val="16"/>
              </w:rPr>
              <w:t>1.3</w:t>
            </w:r>
          </w:p>
        </w:tc>
        <w:tc>
          <w:tcPr>
            <w:tcW w:w="7223" w:type="dxa"/>
            <w:gridSpan w:val="7"/>
            <w:tcBorders>
              <w:top w:val="single" w:sz="4" w:space="0" w:color="auto"/>
              <w:left w:val="nil"/>
              <w:bottom w:val="single" w:sz="4" w:space="0" w:color="auto"/>
              <w:right w:val="nil"/>
            </w:tcBorders>
            <w:shd w:val="clear" w:color="auto" w:fill="auto"/>
            <w:noWrap/>
            <w:hideMark/>
          </w:tcPr>
          <w:p w:rsidR="008D765F" w:rsidRPr="00DA1A27" w:rsidRDefault="008D765F" w:rsidP="00D7336C">
            <w:pPr>
              <w:rPr>
                <w:bCs/>
                <w:sz w:val="16"/>
                <w:szCs w:val="16"/>
              </w:rPr>
            </w:pPr>
            <w:r w:rsidRPr="00DA1A27">
              <w:rPr>
                <w:bCs/>
                <w:sz w:val="16"/>
                <w:szCs w:val="16"/>
              </w:rPr>
              <w:t xml:space="preserve">Одноставочный тариф, дифференцированный по трем зонам суток </w:t>
            </w:r>
            <w:r w:rsidR="00D7336C">
              <w:rPr>
                <w:bCs/>
                <w:sz w:val="16"/>
                <w:szCs w:val="16"/>
                <w:vertAlign w:val="superscript"/>
              </w:rPr>
              <w:t>*</w:t>
            </w:r>
          </w:p>
        </w:tc>
        <w:tc>
          <w:tcPr>
            <w:tcW w:w="912" w:type="dxa"/>
            <w:tcBorders>
              <w:top w:val="nil"/>
              <w:left w:val="nil"/>
              <w:bottom w:val="single" w:sz="4" w:space="0" w:color="auto"/>
              <w:right w:val="nil"/>
            </w:tcBorders>
            <w:shd w:val="clear" w:color="auto" w:fill="auto"/>
            <w:noWrap/>
            <w:hideMark/>
          </w:tcPr>
          <w:p w:rsidR="008D765F" w:rsidRPr="00DA1A27" w:rsidRDefault="008D765F" w:rsidP="008D765F">
            <w:pPr>
              <w:jc w:val="center"/>
              <w:rPr>
                <w:bCs/>
                <w:sz w:val="16"/>
                <w:szCs w:val="16"/>
              </w:rPr>
            </w:pPr>
          </w:p>
        </w:tc>
        <w:tc>
          <w:tcPr>
            <w:tcW w:w="1004" w:type="dxa"/>
            <w:tcBorders>
              <w:top w:val="nil"/>
              <w:left w:val="nil"/>
              <w:bottom w:val="single" w:sz="4" w:space="0" w:color="auto"/>
              <w:right w:val="nil"/>
            </w:tcBorders>
            <w:shd w:val="clear" w:color="auto" w:fill="auto"/>
            <w:noWrap/>
            <w:hideMark/>
          </w:tcPr>
          <w:p w:rsidR="008D765F" w:rsidRPr="00DA1A27" w:rsidRDefault="008D765F" w:rsidP="008D765F">
            <w:pPr>
              <w:jc w:val="center"/>
              <w:rPr>
                <w:bCs/>
                <w:sz w:val="16"/>
                <w:szCs w:val="16"/>
              </w:rPr>
            </w:pPr>
          </w:p>
        </w:tc>
        <w:tc>
          <w:tcPr>
            <w:tcW w:w="912" w:type="dxa"/>
            <w:tcBorders>
              <w:top w:val="nil"/>
              <w:left w:val="nil"/>
              <w:bottom w:val="single" w:sz="4" w:space="0" w:color="auto"/>
              <w:right w:val="nil"/>
            </w:tcBorders>
            <w:shd w:val="clear" w:color="auto" w:fill="auto"/>
            <w:noWrap/>
            <w:vAlign w:val="center"/>
            <w:hideMark/>
          </w:tcPr>
          <w:p w:rsidR="008D765F" w:rsidRPr="001E2223" w:rsidRDefault="008D765F" w:rsidP="00D7336C">
            <w:pPr>
              <w:jc w:val="right"/>
              <w:rPr>
                <w:bCs/>
              </w:rPr>
            </w:pPr>
          </w:p>
        </w:tc>
        <w:tc>
          <w:tcPr>
            <w:tcW w:w="1297" w:type="dxa"/>
            <w:tcBorders>
              <w:top w:val="nil"/>
              <w:left w:val="nil"/>
              <w:bottom w:val="single" w:sz="4" w:space="0" w:color="auto"/>
              <w:right w:val="nil"/>
            </w:tcBorders>
            <w:shd w:val="clear" w:color="auto" w:fill="auto"/>
            <w:noWrap/>
            <w:vAlign w:val="center"/>
            <w:hideMark/>
          </w:tcPr>
          <w:p w:rsidR="008D765F" w:rsidRPr="001E2223" w:rsidRDefault="008D765F" w:rsidP="00D7336C">
            <w:pPr>
              <w:jc w:val="right"/>
              <w:rPr>
                <w:bCs/>
              </w:rPr>
            </w:pPr>
          </w:p>
        </w:tc>
        <w:tc>
          <w:tcPr>
            <w:tcW w:w="992" w:type="dxa"/>
            <w:tcBorders>
              <w:top w:val="nil"/>
              <w:left w:val="nil"/>
              <w:bottom w:val="single" w:sz="4" w:space="0" w:color="auto"/>
              <w:right w:val="nil"/>
            </w:tcBorders>
            <w:shd w:val="clear" w:color="auto" w:fill="auto"/>
            <w:noWrap/>
            <w:vAlign w:val="center"/>
            <w:hideMark/>
          </w:tcPr>
          <w:p w:rsidR="008D765F" w:rsidRPr="001E2223" w:rsidRDefault="008D765F" w:rsidP="00D7336C">
            <w:pPr>
              <w:jc w:val="right"/>
              <w:rPr>
                <w:bCs/>
              </w:rPr>
            </w:pPr>
          </w:p>
        </w:tc>
        <w:tc>
          <w:tcPr>
            <w:tcW w:w="993" w:type="dxa"/>
            <w:tcBorders>
              <w:top w:val="nil"/>
              <w:left w:val="nil"/>
              <w:bottom w:val="single" w:sz="4" w:space="0" w:color="auto"/>
              <w:right w:val="nil"/>
            </w:tcBorders>
            <w:shd w:val="clear" w:color="auto" w:fill="auto"/>
            <w:noWrap/>
            <w:vAlign w:val="center"/>
            <w:hideMark/>
          </w:tcPr>
          <w:p w:rsidR="008D765F" w:rsidRPr="001E2223" w:rsidRDefault="008D765F" w:rsidP="00D7336C">
            <w:pPr>
              <w:jc w:val="right"/>
              <w:rPr>
                <w:bCs/>
              </w:rPr>
            </w:pPr>
          </w:p>
        </w:tc>
        <w:tc>
          <w:tcPr>
            <w:tcW w:w="1073" w:type="dxa"/>
            <w:tcBorders>
              <w:top w:val="nil"/>
              <w:left w:val="nil"/>
              <w:bottom w:val="single" w:sz="4" w:space="0" w:color="auto"/>
              <w:right w:val="single" w:sz="4" w:space="0" w:color="auto"/>
            </w:tcBorders>
            <w:shd w:val="clear" w:color="auto" w:fill="auto"/>
            <w:noWrap/>
            <w:vAlign w:val="center"/>
            <w:hideMark/>
          </w:tcPr>
          <w:p w:rsidR="008D765F" w:rsidRPr="001E2223" w:rsidRDefault="008D765F" w:rsidP="00D7336C">
            <w:pPr>
              <w:jc w:val="right"/>
              <w:rPr>
                <w:bCs/>
              </w:rPr>
            </w:pPr>
          </w:p>
        </w:tc>
      </w:tr>
      <w:tr w:rsidR="008D765F" w:rsidRPr="003C65EC"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8D765F" w:rsidRPr="00DA1A27" w:rsidRDefault="008D765F" w:rsidP="008D765F">
            <w:pPr>
              <w:jc w:val="center"/>
              <w:rPr>
                <w:bCs/>
                <w:sz w:val="16"/>
                <w:szCs w:val="16"/>
              </w:rPr>
            </w:pPr>
            <w:r w:rsidRPr="00DA1A27">
              <w:rPr>
                <w:bCs/>
                <w:sz w:val="16"/>
                <w:szCs w:val="16"/>
              </w:rPr>
              <w:t>1.3.1</w:t>
            </w:r>
          </w:p>
        </w:tc>
        <w:tc>
          <w:tcPr>
            <w:tcW w:w="2337" w:type="dxa"/>
            <w:tcBorders>
              <w:top w:val="nil"/>
              <w:left w:val="nil"/>
              <w:bottom w:val="single" w:sz="4" w:space="0" w:color="auto"/>
              <w:right w:val="nil"/>
            </w:tcBorders>
            <w:shd w:val="clear" w:color="auto" w:fill="auto"/>
            <w:noWrap/>
            <w:hideMark/>
          </w:tcPr>
          <w:p w:rsidR="008D765F" w:rsidRPr="00DA1A27" w:rsidRDefault="008D765F" w:rsidP="008D765F">
            <w:pPr>
              <w:rPr>
                <w:sz w:val="16"/>
                <w:szCs w:val="16"/>
              </w:rPr>
            </w:pPr>
            <w:r w:rsidRPr="00DA1A27">
              <w:rPr>
                <w:sz w:val="16"/>
                <w:szCs w:val="16"/>
              </w:rPr>
              <w:t>Пиковая зона</w:t>
            </w:r>
          </w:p>
        </w:tc>
        <w:tc>
          <w:tcPr>
            <w:tcW w:w="1113" w:type="dxa"/>
            <w:tcBorders>
              <w:top w:val="nil"/>
              <w:left w:val="single" w:sz="4" w:space="0" w:color="auto"/>
              <w:bottom w:val="single" w:sz="4" w:space="0" w:color="auto"/>
              <w:right w:val="nil"/>
            </w:tcBorders>
            <w:shd w:val="clear" w:color="auto" w:fill="auto"/>
            <w:noWrap/>
            <w:hideMark/>
          </w:tcPr>
          <w:p w:rsidR="008D765F" w:rsidRPr="00DA1A27" w:rsidRDefault="008D765F" w:rsidP="008D765F">
            <w:pPr>
              <w:rPr>
                <w:sz w:val="16"/>
                <w:szCs w:val="16"/>
              </w:rPr>
            </w:pPr>
            <w:r w:rsidRPr="00DA1A27">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8D765F" w:rsidRPr="00DA1A27" w:rsidRDefault="008D765F" w:rsidP="008D765F">
            <w:pPr>
              <w:jc w:val="center"/>
              <w:rPr>
                <w:sz w:val="16"/>
                <w:szCs w:val="16"/>
              </w:rPr>
            </w:pPr>
            <w:r>
              <w:rPr>
                <w:sz w:val="16"/>
                <w:szCs w:val="16"/>
              </w:rPr>
              <w:t>-</w:t>
            </w:r>
          </w:p>
        </w:tc>
        <w:tc>
          <w:tcPr>
            <w:tcW w:w="1394" w:type="dxa"/>
            <w:gridSpan w:val="2"/>
            <w:tcBorders>
              <w:top w:val="nil"/>
              <w:left w:val="single" w:sz="4" w:space="0" w:color="auto"/>
              <w:bottom w:val="single" w:sz="4" w:space="0" w:color="auto"/>
              <w:right w:val="nil"/>
            </w:tcBorders>
            <w:shd w:val="clear" w:color="auto" w:fill="auto"/>
            <w:noWrap/>
            <w:hideMark/>
          </w:tcPr>
          <w:p w:rsidR="008D765F" w:rsidRPr="00DA1A27" w:rsidRDefault="008D765F" w:rsidP="008D765F">
            <w:pPr>
              <w:jc w:val="center"/>
              <w:rPr>
                <w:sz w:val="16"/>
                <w:szCs w:val="16"/>
              </w:rPr>
            </w:pPr>
            <w:r>
              <w:rPr>
                <w:sz w:val="16"/>
                <w:szCs w:val="16"/>
              </w:rPr>
              <w:t>-</w:t>
            </w:r>
          </w:p>
        </w:tc>
        <w:tc>
          <w:tcPr>
            <w:tcW w:w="1288" w:type="dxa"/>
            <w:gridSpan w:val="2"/>
            <w:tcBorders>
              <w:top w:val="nil"/>
              <w:left w:val="single" w:sz="4" w:space="0" w:color="auto"/>
              <w:bottom w:val="single" w:sz="4" w:space="0" w:color="auto"/>
              <w:right w:val="nil"/>
            </w:tcBorders>
            <w:shd w:val="clear" w:color="auto" w:fill="auto"/>
            <w:noWrap/>
            <w:hideMark/>
          </w:tcPr>
          <w:p w:rsidR="008D765F" w:rsidRPr="00DA1A27" w:rsidRDefault="008D765F"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8D765F" w:rsidRPr="00DA1A27" w:rsidRDefault="008D765F" w:rsidP="008D765F">
            <w:pPr>
              <w:jc w:val="center"/>
              <w:rPr>
                <w:sz w:val="16"/>
                <w:szCs w:val="16"/>
              </w:rPr>
            </w:pPr>
            <w:r>
              <w:rPr>
                <w:sz w:val="16"/>
                <w:szCs w:val="16"/>
              </w:rPr>
              <w:t>-</w:t>
            </w:r>
          </w:p>
        </w:tc>
        <w:tc>
          <w:tcPr>
            <w:tcW w:w="1004" w:type="dxa"/>
            <w:tcBorders>
              <w:top w:val="nil"/>
              <w:left w:val="single" w:sz="4" w:space="0" w:color="auto"/>
              <w:bottom w:val="single" w:sz="4" w:space="0" w:color="auto"/>
              <w:right w:val="nil"/>
            </w:tcBorders>
            <w:shd w:val="clear" w:color="auto" w:fill="auto"/>
            <w:noWrap/>
            <w:hideMark/>
          </w:tcPr>
          <w:p w:rsidR="008D765F" w:rsidRPr="00DA1A27" w:rsidRDefault="008D765F"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vAlign w:val="center"/>
            <w:hideMark/>
          </w:tcPr>
          <w:p w:rsidR="008D765F" w:rsidRPr="001E2223" w:rsidRDefault="009F24A2" w:rsidP="00D7336C">
            <w:pPr>
              <w:jc w:val="right"/>
            </w:pPr>
            <w:r>
              <w:t>3,</w:t>
            </w:r>
            <w:r w:rsidR="008E6383">
              <w:t>90</w:t>
            </w:r>
          </w:p>
        </w:tc>
        <w:tc>
          <w:tcPr>
            <w:tcW w:w="1297" w:type="dxa"/>
            <w:tcBorders>
              <w:top w:val="nil"/>
              <w:left w:val="single" w:sz="4" w:space="0" w:color="auto"/>
              <w:bottom w:val="single" w:sz="4" w:space="0" w:color="auto"/>
              <w:right w:val="nil"/>
            </w:tcBorders>
            <w:shd w:val="clear" w:color="auto" w:fill="auto"/>
            <w:noWrap/>
            <w:vAlign w:val="center"/>
            <w:hideMark/>
          </w:tcPr>
          <w:p w:rsidR="008D765F" w:rsidRPr="001E2223" w:rsidRDefault="009F24A2" w:rsidP="00D7336C">
            <w:pPr>
              <w:jc w:val="right"/>
            </w:pPr>
            <w:r>
              <w:t>2,2783</w:t>
            </w:r>
          </w:p>
        </w:tc>
        <w:tc>
          <w:tcPr>
            <w:tcW w:w="992" w:type="dxa"/>
            <w:tcBorders>
              <w:top w:val="nil"/>
              <w:left w:val="single" w:sz="4" w:space="0" w:color="auto"/>
              <w:bottom w:val="single" w:sz="4" w:space="0" w:color="auto"/>
              <w:right w:val="nil"/>
            </w:tcBorders>
            <w:shd w:val="clear" w:color="auto" w:fill="auto"/>
            <w:noWrap/>
            <w:vAlign w:val="center"/>
            <w:hideMark/>
          </w:tcPr>
          <w:p w:rsidR="008D765F" w:rsidRPr="001E2223" w:rsidRDefault="009F24A2" w:rsidP="00D7336C">
            <w:pPr>
              <w:jc w:val="right"/>
            </w:pPr>
            <w:r>
              <w:t>1,2145</w:t>
            </w:r>
          </w:p>
        </w:tc>
        <w:tc>
          <w:tcPr>
            <w:tcW w:w="993" w:type="dxa"/>
            <w:tcBorders>
              <w:top w:val="nil"/>
              <w:left w:val="single" w:sz="4" w:space="0" w:color="auto"/>
              <w:bottom w:val="single" w:sz="4" w:space="0" w:color="auto"/>
              <w:right w:val="nil"/>
            </w:tcBorders>
            <w:shd w:val="clear" w:color="auto" w:fill="auto"/>
            <w:noWrap/>
            <w:vAlign w:val="center"/>
            <w:hideMark/>
          </w:tcPr>
          <w:p w:rsidR="008D765F" w:rsidRPr="001E2223" w:rsidRDefault="009F24A2" w:rsidP="00D7336C">
            <w:pPr>
              <w:jc w:val="right"/>
            </w:pPr>
            <w:r>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D765F" w:rsidRPr="001E2223" w:rsidRDefault="009F24A2" w:rsidP="00D7336C">
            <w:pPr>
              <w:jc w:val="right"/>
            </w:pPr>
            <w:r>
              <w:t>0,3999</w:t>
            </w:r>
          </w:p>
        </w:tc>
      </w:tr>
      <w:tr w:rsidR="008D765F" w:rsidRPr="003C65EC"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8D765F" w:rsidRPr="00DA1A27" w:rsidRDefault="008D765F" w:rsidP="008D765F">
            <w:pPr>
              <w:jc w:val="center"/>
              <w:rPr>
                <w:bCs/>
                <w:sz w:val="16"/>
                <w:szCs w:val="16"/>
              </w:rPr>
            </w:pPr>
            <w:r w:rsidRPr="00DA1A27">
              <w:rPr>
                <w:bCs/>
                <w:sz w:val="16"/>
                <w:szCs w:val="16"/>
              </w:rPr>
              <w:t>1.3.2</w:t>
            </w:r>
          </w:p>
        </w:tc>
        <w:tc>
          <w:tcPr>
            <w:tcW w:w="2337" w:type="dxa"/>
            <w:tcBorders>
              <w:top w:val="nil"/>
              <w:left w:val="nil"/>
              <w:bottom w:val="single" w:sz="4" w:space="0" w:color="auto"/>
              <w:right w:val="nil"/>
            </w:tcBorders>
            <w:shd w:val="clear" w:color="auto" w:fill="auto"/>
            <w:noWrap/>
            <w:hideMark/>
          </w:tcPr>
          <w:p w:rsidR="008D765F" w:rsidRPr="00DA1A27" w:rsidRDefault="008D765F" w:rsidP="008D765F">
            <w:pPr>
              <w:rPr>
                <w:sz w:val="16"/>
                <w:szCs w:val="16"/>
              </w:rPr>
            </w:pPr>
            <w:r w:rsidRPr="00DA1A27">
              <w:rPr>
                <w:sz w:val="16"/>
                <w:szCs w:val="16"/>
              </w:rPr>
              <w:t>Полупиковая зона</w:t>
            </w:r>
          </w:p>
        </w:tc>
        <w:tc>
          <w:tcPr>
            <w:tcW w:w="1113" w:type="dxa"/>
            <w:tcBorders>
              <w:top w:val="nil"/>
              <w:left w:val="single" w:sz="4" w:space="0" w:color="auto"/>
              <w:bottom w:val="single" w:sz="4" w:space="0" w:color="auto"/>
              <w:right w:val="nil"/>
            </w:tcBorders>
            <w:shd w:val="clear" w:color="auto" w:fill="auto"/>
            <w:noWrap/>
            <w:hideMark/>
          </w:tcPr>
          <w:p w:rsidR="008D765F" w:rsidRPr="00DA1A27" w:rsidRDefault="008D765F" w:rsidP="008D765F">
            <w:pPr>
              <w:rPr>
                <w:sz w:val="16"/>
                <w:szCs w:val="16"/>
              </w:rPr>
            </w:pPr>
            <w:r w:rsidRPr="00DA1A27">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8D765F" w:rsidRPr="00DA1A27" w:rsidRDefault="008D765F" w:rsidP="008D765F">
            <w:pPr>
              <w:jc w:val="center"/>
              <w:rPr>
                <w:sz w:val="16"/>
                <w:szCs w:val="16"/>
              </w:rPr>
            </w:pPr>
            <w:r>
              <w:rPr>
                <w:sz w:val="16"/>
                <w:szCs w:val="16"/>
              </w:rPr>
              <w:t>-</w:t>
            </w:r>
          </w:p>
        </w:tc>
        <w:tc>
          <w:tcPr>
            <w:tcW w:w="1394" w:type="dxa"/>
            <w:gridSpan w:val="2"/>
            <w:tcBorders>
              <w:top w:val="nil"/>
              <w:left w:val="single" w:sz="4" w:space="0" w:color="auto"/>
              <w:bottom w:val="single" w:sz="4" w:space="0" w:color="auto"/>
              <w:right w:val="nil"/>
            </w:tcBorders>
            <w:shd w:val="clear" w:color="auto" w:fill="auto"/>
            <w:noWrap/>
            <w:hideMark/>
          </w:tcPr>
          <w:p w:rsidR="008D765F" w:rsidRPr="00DA1A27" w:rsidRDefault="008D765F" w:rsidP="008D765F">
            <w:pPr>
              <w:jc w:val="center"/>
              <w:rPr>
                <w:sz w:val="16"/>
                <w:szCs w:val="16"/>
              </w:rPr>
            </w:pPr>
            <w:r>
              <w:rPr>
                <w:sz w:val="16"/>
                <w:szCs w:val="16"/>
              </w:rPr>
              <w:t>-</w:t>
            </w:r>
          </w:p>
        </w:tc>
        <w:tc>
          <w:tcPr>
            <w:tcW w:w="1288" w:type="dxa"/>
            <w:gridSpan w:val="2"/>
            <w:tcBorders>
              <w:top w:val="nil"/>
              <w:left w:val="single" w:sz="4" w:space="0" w:color="auto"/>
              <w:bottom w:val="single" w:sz="4" w:space="0" w:color="auto"/>
              <w:right w:val="nil"/>
            </w:tcBorders>
            <w:shd w:val="clear" w:color="auto" w:fill="auto"/>
            <w:noWrap/>
            <w:hideMark/>
          </w:tcPr>
          <w:p w:rsidR="008D765F" w:rsidRPr="00DA1A27" w:rsidRDefault="008D765F"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8D765F" w:rsidRPr="00DA1A27" w:rsidRDefault="008D765F" w:rsidP="008D765F">
            <w:pPr>
              <w:jc w:val="center"/>
              <w:rPr>
                <w:sz w:val="16"/>
                <w:szCs w:val="16"/>
              </w:rPr>
            </w:pPr>
            <w:r>
              <w:rPr>
                <w:sz w:val="16"/>
                <w:szCs w:val="16"/>
              </w:rPr>
              <w:t>-</w:t>
            </w:r>
          </w:p>
        </w:tc>
        <w:tc>
          <w:tcPr>
            <w:tcW w:w="1004" w:type="dxa"/>
            <w:tcBorders>
              <w:top w:val="nil"/>
              <w:left w:val="single" w:sz="4" w:space="0" w:color="auto"/>
              <w:bottom w:val="single" w:sz="4" w:space="0" w:color="auto"/>
              <w:right w:val="nil"/>
            </w:tcBorders>
            <w:shd w:val="clear" w:color="auto" w:fill="auto"/>
            <w:noWrap/>
            <w:hideMark/>
          </w:tcPr>
          <w:p w:rsidR="008D765F" w:rsidRPr="00DA1A27" w:rsidRDefault="008D765F"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vAlign w:val="center"/>
            <w:hideMark/>
          </w:tcPr>
          <w:p w:rsidR="008D765F" w:rsidRPr="001E2223" w:rsidRDefault="001E2223" w:rsidP="00D7336C">
            <w:pPr>
              <w:jc w:val="right"/>
            </w:pPr>
            <w:r w:rsidRPr="001E2223">
              <w:t>3,26</w:t>
            </w:r>
          </w:p>
        </w:tc>
        <w:tc>
          <w:tcPr>
            <w:tcW w:w="1297" w:type="dxa"/>
            <w:tcBorders>
              <w:top w:val="nil"/>
              <w:left w:val="single" w:sz="4" w:space="0" w:color="auto"/>
              <w:bottom w:val="single" w:sz="4" w:space="0" w:color="auto"/>
              <w:right w:val="nil"/>
            </w:tcBorders>
            <w:shd w:val="clear" w:color="auto" w:fill="auto"/>
            <w:noWrap/>
            <w:vAlign w:val="center"/>
            <w:hideMark/>
          </w:tcPr>
          <w:p w:rsidR="008D765F" w:rsidRPr="001E2223" w:rsidRDefault="001E2223" w:rsidP="00D7336C">
            <w:pPr>
              <w:jc w:val="right"/>
            </w:pPr>
            <w:r w:rsidRPr="001E2223">
              <w:t>1,6424</w:t>
            </w:r>
          </w:p>
        </w:tc>
        <w:tc>
          <w:tcPr>
            <w:tcW w:w="992" w:type="dxa"/>
            <w:tcBorders>
              <w:top w:val="nil"/>
              <w:left w:val="single" w:sz="4" w:space="0" w:color="auto"/>
              <w:bottom w:val="single" w:sz="4" w:space="0" w:color="auto"/>
              <w:right w:val="nil"/>
            </w:tcBorders>
            <w:shd w:val="clear" w:color="auto" w:fill="auto"/>
            <w:noWrap/>
            <w:vAlign w:val="center"/>
            <w:hideMark/>
          </w:tcPr>
          <w:p w:rsidR="008D765F" w:rsidRPr="001E2223" w:rsidRDefault="001E2223" w:rsidP="00D7336C">
            <w:pPr>
              <w:jc w:val="right"/>
            </w:pPr>
            <w:r w:rsidRPr="001E2223">
              <w:t>1,2145</w:t>
            </w:r>
          </w:p>
        </w:tc>
        <w:tc>
          <w:tcPr>
            <w:tcW w:w="993" w:type="dxa"/>
            <w:tcBorders>
              <w:top w:val="nil"/>
              <w:left w:val="single" w:sz="4" w:space="0" w:color="auto"/>
              <w:bottom w:val="single" w:sz="4" w:space="0" w:color="auto"/>
              <w:right w:val="nil"/>
            </w:tcBorders>
            <w:shd w:val="clear" w:color="auto" w:fill="auto"/>
            <w:noWrap/>
            <w:vAlign w:val="center"/>
            <w:hideMark/>
          </w:tcPr>
          <w:p w:rsidR="008D765F" w:rsidRPr="001E2223" w:rsidRDefault="001E2223" w:rsidP="00D7336C">
            <w:pPr>
              <w:jc w:val="right"/>
            </w:pPr>
            <w:r w:rsidRPr="001E2223">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D765F" w:rsidRPr="001E2223" w:rsidRDefault="001E2223" w:rsidP="00D7336C">
            <w:pPr>
              <w:jc w:val="right"/>
            </w:pPr>
            <w:r w:rsidRPr="001E2223">
              <w:t>0,3999</w:t>
            </w:r>
          </w:p>
        </w:tc>
      </w:tr>
      <w:tr w:rsidR="009F24A2" w:rsidRPr="003C65EC"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9F24A2" w:rsidRPr="00DA1A27" w:rsidRDefault="009F24A2" w:rsidP="008D765F">
            <w:pPr>
              <w:jc w:val="center"/>
              <w:rPr>
                <w:bCs/>
                <w:sz w:val="16"/>
                <w:szCs w:val="16"/>
              </w:rPr>
            </w:pPr>
            <w:r w:rsidRPr="00DA1A27">
              <w:rPr>
                <w:bCs/>
                <w:sz w:val="16"/>
                <w:szCs w:val="16"/>
              </w:rPr>
              <w:t>1.3.3</w:t>
            </w:r>
          </w:p>
        </w:tc>
        <w:tc>
          <w:tcPr>
            <w:tcW w:w="2337" w:type="dxa"/>
            <w:tcBorders>
              <w:top w:val="nil"/>
              <w:left w:val="nil"/>
              <w:bottom w:val="single" w:sz="4" w:space="0" w:color="auto"/>
              <w:right w:val="nil"/>
            </w:tcBorders>
            <w:shd w:val="clear" w:color="auto" w:fill="auto"/>
            <w:noWrap/>
            <w:hideMark/>
          </w:tcPr>
          <w:p w:rsidR="009F24A2" w:rsidRPr="00DA1A27" w:rsidRDefault="009F24A2" w:rsidP="008D765F">
            <w:pPr>
              <w:rPr>
                <w:sz w:val="16"/>
                <w:szCs w:val="16"/>
              </w:rPr>
            </w:pPr>
            <w:r w:rsidRPr="00DA1A27">
              <w:rPr>
                <w:sz w:val="16"/>
                <w:szCs w:val="16"/>
              </w:rPr>
              <w:t>Ночная зона</w:t>
            </w:r>
          </w:p>
        </w:tc>
        <w:tc>
          <w:tcPr>
            <w:tcW w:w="1113" w:type="dxa"/>
            <w:tcBorders>
              <w:top w:val="nil"/>
              <w:left w:val="single" w:sz="4" w:space="0" w:color="auto"/>
              <w:bottom w:val="single" w:sz="4" w:space="0" w:color="auto"/>
              <w:right w:val="nil"/>
            </w:tcBorders>
            <w:shd w:val="clear" w:color="auto" w:fill="auto"/>
            <w:noWrap/>
            <w:hideMark/>
          </w:tcPr>
          <w:p w:rsidR="009F24A2" w:rsidRPr="00DA1A27" w:rsidRDefault="009F24A2" w:rsidP="008D765F">
            <w:pPr>
              <w:rPr>
                <w:sz w:val="16"/>
                <w:szCs w:val="16"/>
              </w:rPr>
            </w:pPr>
            <w:r w:rsidRPr="00DA1A27">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1394" w:type="dxa"/>
            <w:gridSpan w:val="2"/>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1288" w:type="dxa"/>
            <w:gridSpan w:val="2"/>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1004" w:type="dxa"/>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vAlign w:val="center"/>
            <w:hideMark/>
          </w:tcPr>
          <w:p w:rsidR="009F24A2" w:rsidRPr="001E2223" w:rsidRDefault="009F24A2" w:rsidP="00D7336C">
            <w:pPr>
              <w:jc w:val="right"/>
            </w:pPr>
            <w:r>
              <w:t>2,</w:t>
            </w:r>
            <w:r w:rsidR="008E6383">
              <w:t>32</w:t>
            </w:r>
          </w:p>
        </w:tc>
        <w:tc>
          <w:tcPr>
            <w:tcW w:w="1297" w:type="dxa"/>
            <w:tcBorders>
              <w:top w:val="nil"/>
              <w:left w:val="single" w:sz="4" w:space="0" w:color="auto"/>
              <w:bottom w:val="single" w:sz="4" w:space="0" w:color="auto"/>
              <w:right w:val="nil"/>
            </w:tcBorders>
            <w:shd w:val="clear" w:color="auto" w:fill="auto"/>
            <w:noWrap/>
            <w:vAlign w:val="center"/>
            <w:hideMark/>
          </w:tcPr>
          <w:p w:rsidR="009F24A2" w:rsidRPr="001E2223" w:rsidRDefault="009F24A2" w:rsidP="00D7336C">
            <w:pPr>
              <w:jc w:val="right"/>
            </w:pPr>
            <w:r>
              <w:t>0,9254</w:t>
            </w:r>
          </w:p>
        </w:tc>
        <w:tc>
          <w:tcPr>
            <w:tcW w:w="992" w:type="dxa"/>
            <w:tcBorders>
              <w:top w:val="nil"/>
              <w:left w:val="single" w:sz="4" w:space="0" w:color="auto"/>
              <w:bottom w:val="single" w:sz="4" w:space="0" w:color="auto"/>
              <w:right w:val="nil"/>
            </w:tcBorders>
            <w:shd w:val="clear" w:color="auto" w:fill="auto"/>
            <w:noWrap/>
            <w:vAlign w:val="center"/>
            <w:hideMark/>
          </w:tcPr>
          <w:p w:rsidR="009F24A2" w:rsidRPr="001E2223" w:rsidRDefault="008E6383" w:rsidP="009F24A2">
            <w:pPr>
              <w:jc w:val="right"/>
            </w:pPr>
            <w:r>
              <w:t>0,9945</w:t>
            </w:r>
          </w:p>
        </w:tc>
        <w:tc>
          <w:tcPr>
            <w:tcW w:w="993" w:type="dxa"/>
            <w:tcBorders>
              <w:top w:val="nil"/>
              <w:left w:val="single" w:sz="4" w:space="0" w:color="auto"/>
              <w:bottom w:val="single" w:sz="4" w:space="0" w:color="auto"/>
              <w:right w:val="nil"/>
            </w:tcBorders>
            <w:shd w:val="clear" w:color="auto" w:fill="auto"/>
            <w:noWrap/>
            <w:vAlign w:val="center"/>
            <w:hideMark/>
          </w:tcPr>
          <w:p w:rsidR="009F24A2" w:rsidRPr="001E2223" w:rsidRDefault="009F24A2" w:rsidP="009F24A2">
            <w:pPr>
              <w:jc w:val="right"/>
            </w:pPr>
            <w:r>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F24A2" w:rsidRPr="001E2223" w:rsidRDefault="009F24A2" w:rsidP="009F24A2">
            <w:pPr>
              <w:jc w:val="right"/>
            </w:pPr>
            <w:r>
              <w:t>0,3999</w:t>
            </w:r>
          </w:p>
        </w:tc>
      </w:tr>
      <w:tr w:rsidR="009F24A2" w:rsidRPr="003C65EC" w:rsidTr="009F24A2">
        <w:trPr>
          <w:gridAfter w:val="4"/>
          <w:wAfter w:w="4292" w:type="dxa"/>
          <w:trHeight w:val="415"/>
        </w:trPr>
        <w:tc>
          <w:tcPr>
            <w:tcW w:w="711" w:type="dxa"/>
            <w:tcBorders>
              <w:top w:val="nil"/>
              <w:left w:val="single" w:sz="4" w:space="0" w:color="auto"/>
              <w:bottom w:val="single" w:sz="4" w:space="0" w:color="auto"/>
              <w:right w:val="single" w:sz="4" w:space="0" w:color="auto"/>
            </w:tcBorders>
            <w:shd w:val="clear" w:color="auto" w:fill="auto"/>
            <w:noWrap/>
            <w:hideMark/>
          </w:tcPr>
          <w:p w:rsidR="009F24A2" w:rsidRPr="00DA1A27" w:rsidRDefault="009F24A2" w:rsidP="008D765F">
            <w:pPr>
              <w:jc w:val="center"/>
              <w:rPr>
                <w:bCs/>
                <w:sz w:val="16"/>
                <w:szCs w:val="16"/>
              </w:rPr>
            </w:pPr>
            <w:r w:rsidRPr="00DA1A27">
              <w:rPr>
                <w:bCs/>
                <w:sz w:val="16"/>
                <w:szCs w:val="16"/>
              </w:rPr>
              <w:t>2</w:t>
            </w:r>
          </w:p>
        </w:tc>
        <w:tc>
          <w:tcPr>
            <w:tcW w:w="14406" w:type="dxa"/>
            <w:gridSpan w:val="14"/>
            <w:tcBorders>
              <w:top w:val="nil"/>
              <w:left w:val="nil"/>
              <w:bottom w:val="single" w:sz="4" w:space="0" w:color="auto"/>
              <w:right w:val="single" w:sz="4" w:space="0" w:color="auto"/>
            </w:tcBorders>
            <w:shd w:val="clear" w:color="auto" w:fill="auto"/>
            <w:hideMark/>
          </w:tcPr>
          <w:p w:rsidR="009F24A2" w:rsidRPr="00DA1A27" w:rsidRDefault="009F24A2" w:rsidP="00D44F4D">
            <w:pPr>
              <w:rPr>
                <w:iCs/>
                <w:sz w:val="16"/>
                <w:szCs w:val="16"/>
              </w:rPr>
            </w:pPr>
            <w:r w:rsidRPr="00DA1A27">
              <w:rPr>
                <w:iCs/>
                <w:sz w:val="16"/>
                <w:szCs w:val="16"/>
              </w:rPr>
              <w:t>Население, проживающее в городских населенных пунктах в домах,оборудованных в установленном порядке стационарными электроплитами</w:t>
            </w:r>
            <w:r>
              <w:rPr>
                <w:iCs/>
                <w:sz w:val="16"/>
                <w:szCs w:val="16"/>
              </w:rPr>
              <w:t xml:space="preserve"> </w:t>
            </w:r>
            <w:r w:rsidRPr="00DA1A27">
              <w:rPr>
                <w:iCs/>
                <w:sz w:val="16"/>
                <w:szCs w:val="16"/>
              </w:rPr>
              <w:t xml:space="preserve">и (или) электроотопительными установками </w:t>
            </w:r>
            <w:r w:rsidRPr="00DA1A27">
              <w:rPr>
                <w:iCs/>
                <w:sz w:val="16"/>
                <w:szCs w:val="16"/>
                <w:vertAlign w:val="superscript"/>
              </w:rPr>
              <w:t>2</w:t>
            </w:r>
            <w:r w:rsidRPr="00DA1A27">
              <w:rPr>
                <w:iCs/>
                <w:sz w:val="16"/>
                <w:szCs w:val="16"/>
              </w:rPr>
              <w:t xml:space="preserve"> (тарифы указываются с учетом НДС)</w:t>
            </w:r>
            <w:r>
              <w:rPr>
                <w:iCs/>
                <w:sz w:val="16"/>
                <w:szCs w:val="16"/>
              </w:rPr>
              <w:t>**</w:t>
            </w:r>
          </w:p>
        </w:tc>
      </w:tr>
      <w:tr w:rsidR="009F24A2" w:rsidRPr="003C65EC"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9F24A2" w:rsidRPr="00DA1A27" w:rsidRDefault="009F24A2" w:rsidP="008D765F">
            <w:pPr>
              <w:jc w:val="center"/>
              <w:rPr>
                <w:bCs/>
                <w:sz w:val="16"/>
                <w:szCs w:val="16"/>
              </w:rPr>
            </w:pPr>
            <w:r w:rsidRPr="00DA1A27">
              <w:rPr>
                <w:bCs/>
                <w:sz w:val="16"/>
                <w:szCs w:val="16"/>
              </w:rPr>
              <w:t>2.1</w:t>
            </w:r>
          </w:p>
        </w:tc>
        <w:tc>
          <w:tcPr>
            <w:tcW w:w="2337" w:type="dxa"/>
            <w:tcBorders>
              <w:top w:val="nil"/>
              <w:left w:val="nil"/>
              <w:bottom w:val="single" w:sz="4" w:space="0" w:color="auto"/>
              <w:right w:val="nil"/>
            </w:tcBorders>
            <w:shd w:val="clear" w:color="auto" w:fill="auto"/>
            <w:noWrap/>
            <w:hideMark/>
          </w:tcPr>
          <w:p w:rsidR="009F24A2" w:rsidRPr="00DA1A27" w:rsidRDefault="009F24A2" w:rsidP="008D765F">
            <w:pPr>
              <w:rPr>
                <w:bCs/>
                <w:sz w:val="16"/>
                <w:szCs w:val="16"/>
              </w:rPr>
            </w:pPr>
            <w:r w:rsidRPr="00DA1A27">
              <w:rPr>
                <w:bCs/>
                <w:sz w:val="16"/>
                <w:szCs w:val="16"/>
              </w:rPr>
              <w:t>Одноставочный тариф</w:t>
            </w:r>
          </w:p>
        </w:tc>
        <w:tc>
          <w:tcPr>
            <w:tcW w:w="1113" w:type="dxa"/>
            <w:tcBorders>
              <w:top w:val="nil"/>
              <w:left w:val="single" w:sz="4" w:space="0" w:color="auto"/>
              <w:bottom w:val="single" w:sz="4" w:space="0" w:color="auto"/>
              <w:right w:val="nil"/>
            </w:tcBorders>
            <w:shd w:val="clear" w:color="auto" w:fill="auto"/>
            <w:noWrap/>
            <w:hideMark/>
          </w:tcPr>
          <w:p w:rsidR="009F24A2" w:rsidRPr="00DA1A27" w:rsidRDefault="009F24A2" w:rsidP="008D765F">
            <w:pPr>
              <w:rPr>
                <w:sz w:val="16"/>
                <w:szCs w:val="16"/>
              </w:rPr>
            </w:pPr>
            <w:r w:rsidRPr="00DA1A27">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1394" w:type="dxa"/>
            <w:gridSpan w:val="2"/>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1288" w:type="dxa"/>
            <w:gridSpan w:val="2"/>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1004" w:type="dxa"/>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vAlign w:val="center"/>
            <w:hideMark/>
          </w:tcPr>
          <w:p w:rsidR="009F24A2" w:rsidRPr="00D7336C" w:rsidRDefault="009F24A2" w:rsidP="00D7336C">
            <w:pPr>
              <w:jc w:val="right"/>
            </w:pPr>
            <w:r w:rsidRPr="00D7336C">
              <w:t>2,61</w:t>
            </w:r>
          </w:p>
        </w:tc>
        <w:tc>
          <w:tcPr>
            <w:tcW w:w="1297" w:type="dxa"/>
            <w:tcBorders>
              <w:top w:val="nil"/>
              <w:left w:val="single" w:sz="4" w:space="0" w:color="auto"/>
              <w:bottom w:val="single" w:sz="4" w:space="0" w:color="auto"/>
              <w:right w:val="nil"/>
            </w:tcBorders>
            <w:shd w:val="clear" w:color="auto" w:fill="auto"/>
            <w:noWrap/>
            <w:vAlign w:val="center"/>
            <w:hideMark/>
          </w:tcPr>
          <w:p w:rsidR="009F24A2" w:rsidRPr="00D7336C" w:rsidRDefault="009F24A2" w:rsidP="00D7336C">
            <w:pPr>
              <w:jc w:val="right"/>
            </w:pPr>
            <w:r w:rsidRPr="00D7336C">
              <w:t>1,6424</w:t>
            </w:r>
          </w:p>
        </w:tc>
        <w:tc>
          <w:tcPr>
            <w:tcW w:w="992" w:type="dxa"/>
            <w:tcBorders>
              <w:top w:val="nil"/>
              <w:left w:val="single" w:sz="4" w:space="0" w:color="auto"/>
              <w:bottom w:val="single" w:sz="4" w:space="0" w:color="auto"/>
              <w:right w:val="nil"/>
            </w:tcBorders>
            <w:shd w:val="clear" w:color="auto" w:fill="auto"/>
            <w:noWrap/>
            <w:vAlign w:val="center"/>
            <w:hideMark/>
          </w:tcPr>
          <w:p w:rsidR="009F24A2" w:rsidRPr="00D7336C" w:rsidRDefault="009F24A2" w:rsidP="00D7336C">
            <w:pPr>
              <w:jc w:val="right"/>
            </w:pPr>
            <w:r w:rsidRPr="00D7336C">
              <w:t>0,5645</w:t>
            </w:r>
          </w:p>
        </w:tc>
        <w:tc>
          <w:tcPr>
            <w:tcW w:w="993" w:type="dxa"/>
            <w:tcBorders>
              <w:top w:val="nil"/>
              <w:left w:val="single" w:sz="4" w:space="0" w:color="auto"/>
              <w:bottom w:val="single" w:sz="4" w:space="0" w:color="auto"/>
              <w:right w:val="nil"/>
            </w:tcBorders>
            <w:shd w:val="clear" w:color="auto" w:fill="auto"/>
            <w:noWrap/>
            <w:vAlign w:val="center"/>
            <w:hideMark/>
          </w:tcPr>
          <w:p w:rsidR="009F24A2" w:rsidRPr="00D7336C" w:rsidRDefault="009F24A2" w:rsidP="00D7336C">
            <w:pPr>
              <w:jc w:val="right"/>
            </w:pPr>
            <w:r w:rsidRPr="00D7336C">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F24A2" w:rsidRPr="00D7336C" w:rsidRDefault="009F24A2" w:rsidP="00D7336C">
            <w:pPr>
              <w:jc w:val="right"/>
            </w:pPr>
            <w:r w:rsidRPr="00D7336C">
              <w:t>0,3999</w:t>
            </w:r>
          </w:p>
        </w:tc>
      </w:tr>
      <w:tr w:rsidR="009F24A2" w:rsidRPr="003C65EC" w:rsidTr="009F24A2">
        <w:trPr>
          <w:gridAfter w:val="4"/>
          <w:wAfter w:w="4292" w:type="dxa"/>
          <w:trHeight w:val="330"/>
        </w:trPr>
        <w:tc>
          <w:tcPr>
            <w:tcW w:w="711" w:type="dxa"/>
            <w:tcBorders>
              <w:top w:val="nil"/>
              <w:left w:val="single" w:sz="4" w:space="0" w:color="auto"/>
              <w:bottom w:val="single" w:sz="4" w:space="0" w:color="auto"/>
              <w:right w:val="single" w:sz="4" w:space="0" w:color="auto"/>
            </w:tcBorders>
            <w:shd w:val="clear" w:color="auto" w:fill="auto"/>
            <w:noWrap/>
            <w:hideMark/>
          </w:tcPr>
          <w:p w:rsidR="009F24A2" w:rsidRPr="00DA1A27" w:rsidRDefault="009F24A2" w:rsidP="008D765F">
            <w:pPr>
              <w:jc w:val="center"/>
              <w:rPr>
                <w:bCs/>
                <w:sz w:val="16"/>
                <w:szCs w:val="16"/>
              </w:rPr>
            </w:pPr>
            <w:r w:rsidRPr="00DA1A27">
              <w:rPr>
                <w:bCs/>
                <w:sz w:val="16"/>
                <w:szCs w:val="16"/>
              </w:rPr>
              <w:t>2.2</w:t>
            </w:r>
          </w:p>
        </w:tc>
        <w:tc>
          <w:tcPr>
            <w:tcW w:w="5935" w:type="dxa"/>
            <w:gridSpan w:val="5"/>
            <w:tcBorders>
              <w:top w:val="single" w:sz="4" w:space="0" w:color="auto"/>
              <w:left w:val="nil"/>
              <w:bottom w:val="single" w:sz="4" w:space="0" w:color="auto"/>
              <w:right w:val="nil"/>
            </w:tcBorders>
            <w:shd w:val="clear" w:color="auto" w:fill="auto"/>
            <w:noWrap/>
            <w:hideMark/>
          </w:tcPr>
          <w:p w:rsidR="009F24A2" w:rsidRPr="00DA1A27" w:rsidRDefault="009F24A2" w:rsidP="00D7336C">
            <w:pPr>
              <w:rPr>
                <w:bCs/>
                <w:sz w:val="16"/>
                <w:szCs w:val="16"/>
              </w:rPr>
            </w:pPr>
            <w:r w:rsidRPr="00DA1A27">
              <w:rPr>
                <w:bCs/>
                <w:sz w:val="16"/>
                <w:szCs w:val="16"/>
              </w:rPr>
              <w:t xml:space="preserve">Одноставочный тариф, дифференцированный по двум зонам суток </w:t>
            </w:r>
            <w:r>
              <w:rPr>
                <w:bCs/>
                <w:sz w:val="16"/>
                <w:szCs w:val="16"/>
                <w:vertAlign w:val="superscript"/>
              </w:rPr>
              <w:t>*</w:t>
            </w:r>
          </w:p>
        </w:tc>
        <w:tc>
          <w:tcPr>
            <w:tcW w:w="1288" w:type="dxa"/>
            <w:gridSpan w:val="2"/>
            <w:tcBorders>
              <w:top w:val="nil"/>
              <w:left w:val="nil"/>
              <w:bottom w:val="single" w:sz="4" w:space="0" w:color="auto"/>
              <w:right w:val="nil"/>
            </w:tcBorders>
            <w:shd w:val="clear" w:color="auto" w:fill="auto"/>
            <w:noWrap/>
            <w:hideMark/>
          </w:tcPr>
          <w:p w:rsidR="009F24A2" w:rsidRPr="00DA1A27" w:rsidRDefault="009F24A2" w:rsidP="008D765F">
            <w:pPr>
              <w:jc w:val="center"/>
              <w:rPr>
                <w:bCs/>
                <w:sz w:val="16"/>
                <w:szCs w:val="16"/>
              </w:rPr>
            </w:pPr>
          </w:p>
        </w:tc>
        <w:tc>
          <w:tcPr>
            <w:tcW w:w="912" w:type="dxa"/>
            <w:tcBorders>
              <w:top w:val="nil"/>
              <w:left w:val="nil"/>
              <w:bottom w:val="single" w:sz="4" w:space="0" w:color="auto"/>
              <w:right w:val="nil"/>
            </w:tcBorders>
            <w:shd w:val="clear" w:color="auto" w:fill="auto"/>
            <w:noWrap/>
            <w:hideMark/>
          </w:tcPr>
          <w:p w:rsidR="009F24A2" w:rsidRPr="00DA1A27" w:rsidRDefault="009F24A2" w:rsidP="008D765F">
            <w:pPr>
              <w:jc w:val="center"/>
              <w:rPr>
                <w:bCs/>
                <w:sz w:val="16"/>
                <w:szCs w:val="16"/>
              </w:rPr>
            </w:pPr>
          </w:p>
        </w:tc>
        <w:tc>
          <w:tcPr>
            <w:tcW w:w="1004" w:type="dxa"/>
            <w:tcBorders>
              <w:top w:val="nil"/>
              <w:left w:val="nil"/>
              <w:bottom w:val="single" w:sz="4" w:space="0" w:color="auto"/>
              <w:right w:val="nil"/>
            </w:tcBorders>
            <w:shd w:val="clear" w:color="auto" w:fill="auto"/>
            <w:noWrap/>
            <w:hideMark/>
          </w:tcPr>
          <w:p w:rsidR="009F24A2" w:rsidRPr="00DA1A27" w:rsidRDefault="009F24A2" w:rsidP="008D765F">
            <w:pPr>
              <w:jc w:val="center"/>
              <w:rPr>
                <w:bCs/>
                <w:sz w:val="16"/>
                <w:szCs w:val="16"/>
              </w:rPr>
            </w:pPr>
          </w:p>
        </w:tc>
        <w:tc>
          <w:tcPr>
            <w:tcW w:w="912" w:type="dxa"/>
            <w:tcBorders>
              <w:top w:val="nil"/>
              <w:left w:val="nil"/>
              <w:bottom w:val="single" w:sz="4" w:space="0" w:color="auto"/>
              <w:right w:val="nil"/>
            </w:tcBorders>
            <w:shd w:val="clear" w:color="auto" w:fill="auto"/>
            <w:noWrap/>
            <w:hideMark/>
          </w:tcPr>
          <w:p w:rsidR="009F24A2" w:rsidRPr="00D7336C" w:rsidRDefault="009F24A2" w:rsidP="008D765F">
            <w:pPr>
              <w:rPr>
                <w:bCs/>
              </w:rPr>
            </w:pPr>
            <w:r w:rsidRPr="00D7336C">
              <w:rPr>
                <w:bCs/>
              </w:rPr>
              <w:t> </w:t>
            </w:r>
          </w:p>
        </w:tc>
        <w:tc>
          <w:tcPr>
            <w:tcW w:w="1297" w:type="dxa"/>
            <w:tcBorders>
              <w:top w:val="nil"/>
              <w:left w:val="nil"/>
              <w:bottom w:val="single" w:sz="4" w:space="0" w:color="auto"/>
              <w:right w:val="nil"/>
            </w:tcBorders>
            <w:shd w:val="clear" w:color="auto" w:fill="auto"/>
            <w:noWrap/>
            <w:hideMark/>
          </w:tcPr>
          <w:p w:rsidR="009F24A2" w:rsidRPr="00D7336C" w:rsidRDefault="009F24A2" w:rsidP="008D765F">
            <w:pPr>
              <w:rPr>
                <w:bCs/>
              </w:rPr>
            </w:pPr>
            <w:r w:rsidRPr="00D7336C">
              <w:rPr>
                <w:bCs/>
              </w:rPr>
              <w:t> </w:t>
            </w:r>
          </w:p>
        </w:tc>
        <w:tc>
          <w:tcPr>
            <w:tcW w:w="992" w:type="dxa"/>
            <w:tcBorders>
              <w:top w:val="nil"/>
              <w:left w:val="nil"/>
              <w:bottom w:val="single" w:sz="4" w:space="0" w:color="auto"/>
              <w:right w:val="nil"/>
            </w:tcBorders>
            <w:shd w:val="clear" w:color="auto" w:fill="auto"/>
            <w:noWrap/>
            <w:hideMark/>
          </w:tcPr>
          <w:p w:rsidR="009F24A2" w:rsidRPr="00D7336C" w:rsidRDefault="009F24A2" w:rsidP="008D765F">
            <w:pPr>
              <w:rPr>
                <w:bCs/>
              </w:rPr>
            </w:pPr>
            <w:r w:rsidRPr="00D7336C">
              <w:rPr>
                <w:bCs/>
              </w:rPr>
              <w:t> </w:t>
            </w:r>
          </w:p>
        </w:tc>
        <w:tc>
          <w:tcPr>
            <w:tcW w:w="993" w:type="dxa"/>
            <w:tcBorders>
              <w:top w:val="nil"/>
              <w:left w:val="nil"/>
              <w:bottom w:val="single" w:sz="4" w:space="0" w:color="auto"/>
              <w:right w:val="nil"/>
            </w:tcBorders>
            <w:shd w:val="clear" w:color="auto" w:fill="auto"/>
            <w:noWrap/>
            <w:hideMark/>
          </w:tcPr>
          <w:p w:rsidR="009F24A2" w:rsidRPr="00D7336C" w:rsidRDefault="009F24A2" w:rsidP="008D765F">
            <w:pPr>
              <w:rPr>
                <w:bCs/>
              </w:rPr>
            </w:pPr>
            <w:r w:rsidRPr="00D7336C">
              <w:rPr>
                <w:bCs/>
              </w:rPr>
              <w:t> </w:t>
            </w:r>
          </w:p>
        </w:tc>
        <w:tc>
          <w:tcPr>
            <w:tcW w:w="1073" w:type="dxa"/>
            <w:tcBorders>
              <w:top w:val="nil"/>
              <w:left w:val="nil"/>
              <w:bottom w:val="single" w:sz="4" w:space="0" w:color="auto"/>
              <w:right w:val="single" w:sz="4" w:space="0" w:color="auto"/>
            </w:tcBorders>
            <w:shd w:val="clear" w:color="auto" w:fill="auto"/>
            <w:noWrap/>
            <w:hideMark/>
          </w:tcPr>
          <w:p w:rsidR="009F24A2" w:rsidRPr="00D7336C" w:rsidRDefault="009F24A2" w:rsidP="008D765F">
            <w:pPr>
              <w:rPr>
                <w:bCs/>
              </w:rPr>
            </w:pPr>
            <w:r w:rsidRPr="00D7336C">
              <w:rPr>
                <w:bCs/>
              </w:rPr>
              <w:t> </w:t>
            </w:r>
          </w:p>
        </w:tc>
      </w:tr>
      <w:tr w:rsidR="009F24A2" w:rsidRPr="003C65EC"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9F24A2" w:rsidRPr="00DA1A27" w:rsidRDefault="009F24A2" w:rsidP="008D765F">
            <w:pPr>
              <w:jc w:val="center"/>
              <w:rPr>
                <w:bCs/>
                <w:sz w:val="16"/>
                <w:szCs w:val="16"/>
              </w:rPr>
            </w:pPr>
            <w:r w:rsidRPr="00DA1A27">
              <w:rPr>
                <w:bCs/>
                <w:sz w:val="16"/>
                <w:szCs w:val="16"/>
              </w:rPr>
              <w:t>2.2.1</w:t>
            </w:r>
          </w:p>
        </w:tc>
        <w:tc>
          <w:tcPr>
            <w:tcW w:w="2337" w:type="dxa"/>
            <w:tcBorders>
              <w:top w:val="nil"/>
              <w:left w:val="nil"/>
              <w:bottom w:val="single" w:sz="4" w:space="0" w:color="auto"/>
              <w:right w:val="nil"/>
            </w:tcBorders>
            <w:shd w:val="clear" w:color="auto" w:fill="auto"/>
            <w:noWrap/>
            <w:hideMark/>
          </w:tcPr>
          <w:p w:rsidR="009F24A2" w:rsidRPr="00DA1A27" w:rsidRDefault="009F24A2" w:rsidP="008D765F">
            <w:pPr>
              <w:rPr>
                <w:sz w:val="16"/>
                <w:szCs w:val="16"/>
              </w:rPr>
            </w:pPr>
            <w:r w:rsidRPr="00DA1A27">
              <w:rPr>
                <w:sz w:val="16"/>
                <w:szCs w:val="16"/>
              </w:rPr>
              <w:t>Дневная зона (пиковая и полупиковая)</w:t>
            </w:r>
          </w:p>
        </w:tc>
        <w:tc>
          <w:tcPr>
            <w:tcW w:w="1113" w:type="dxa"/>
            <w:tcBorders>
              <w:top w:val="nil"/>
              <w:left w:val="single" w:sz="4" w:space="0" w:color="auto"/>
              <w:bottom w:val="single" w:sz="4" w:space="0" w:color="auto"/>
              <w:right w:val="nil"/>
            </w:tcBorders>
            <w:shd w:val="clear" w:color="auto" w:fill="auto"/>
            <w:noWrap/>
            <w:hideMark/>
          </w:tcPr>
          <w:p w:rsidR="009F24A2" w:rsidRPr="00DA1A27" w:rsidRDefault="009F24A2" w:rsidP="008D765F">
            <w:pPr>
              <w:rPr>
                <w:sz w:val="16"/>
                <w:szCs w:val="16"/>
              </w:rPr>
            </w:pPr>
            <w:r w:rsidRPr="00DA1A27">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1394" w:type="dxa"/>
            <w:gridSpan w:val="2"/>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1288" w:type="dxa"/>
            <w:gridSpan w:val="2"/>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1004" w:type="dxa"/>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vAlign w:val="center"/>
            <w:hideMark/>
          </w:tcPr>
          <w:p w:rsidR="009F24A2" w:rsidRPr="00D7336C" w:rsidRDefault="009F24A2" w:rsidP="008E6383">
            <w:pPr>
              <w:jc w:val="right"/>
            </w:pPr>
            <w:r>
              <w:t>2,8</w:t>
            </w:r>
            <w:r w:rsidR="008E6383">
              <w:t>8</w:t>
            </w:r>
          </w:p>
        </w:tc>
        <w:tc>
          <w:tcPr>
            <w:tcW w:w="1297" w:type="dxa"/>
            <w:tcBorders>
              <w:top w:val="nil"/>
              <w:left w:val="single" w:sz="4" w:space="0" w:color="auto"/>
              <w:bottom w:val="single" w:sz="4" w:space="0" w:color="auto"/>
              <w:right w:val="nil"/>
            </w:tcBorders>
            <w:shd w:val="clear" w:color="auto" w:fill="auto"/>
            <w:noWrap/>
            <w:vAlign w:val="center"/>
            <w:hideMark/>
          </w:tcPr>
          <w:p w:rsidR="009F24A2" w:rsidRPr="00D7336C" w:rsidRDefault="009F24A2" w:rsidP="001E2223">
            <w:pPr>
              <w:jc w:val="center"/>
            </w:pPr>
            <w:r>
              <w:t>1,9083</w:t>
            </w:r>
          </w:p>
        </w:tc>
        <w:tc>
          <w:tcPr>
            <w:tcW w:w="992" w:type="dxa"/>
            <w:tcBorders>
              <w:top w:val="nil"/>
              <w:left w:val="single" w:sz="4" w:space="0" w:color="auto"/>
              <w:bottom w:val="single" w:sz="4" w:space="0" w:color="auto"/>
              <w:right w:val="nil"/>
            </w:tcBorders>
            <w:shd w:val="clear" w:color="auto" w:fill="auto"/>
            <w:noWrap/>
            <w:vAlign w:val="center"/>
            <w:hideMark/>
          </w:tcPr>
          <w:p w:rsidR="009F24A2" w:rsidRPr="00D7336C" w:rsidRDefault="009F24A2" w:rsidP="009F24A2">
            <w:pPr>
              <w:jc w:val="right"/>
            </w:pPr>
            <w:r w:rsidRPr="00D7336C">
              <w:t>0,5645</w:t>
            </w:r>
          </w:p>
        </w:tc>
        <w:tc>
          <w:tcPr>
            <w:tcW w:w="993" w:type="dxa"/>
            <w:tcBorders>
              <w:top w:val="nil"/>
              <w:left w:val="single" w:sz="4" w:space="0" w:color="auto"/>
              <w:bottom w:val="single" w:sz="4" w:space="0" w:color="auto"/>
              <w:right w:val="nil"/>
            </w:tcBorders>
            <w:shd w:val="clear" w:color="auto" w:fill="auto"/>
            <w:noWrap/>
            <w:vAlign w:val="center"/>
            <w:hideMark/>
          </w:tcPr>
          <w:p w:rsidR="009F24A2" w:rsidRPr="00D7336C" w:rsidRDefault="009F24A2" w:rsidP="009F24A2">
            <w:pPr>
              <w:jc w:val="right"/>
            </w:pPr>
            <w:r w:rsidRPr="00D7336C">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F24A2" w:rsidRPr="00D7336C" w:rsidRDefault="009F24A2" w:rsidP="009F24A2">
            <w:pPr>
              <w:jc w:val="right"/>
            </w:pPr>
            <w:r w:rsidRPr="00D7336C">
              <w:t>0,3999</w:t>
            </w:r>
          </w:p>
        </w:tc>
      </w:tr>
      <w:tr w:rsidR="009F24A2" w:rsidRPr="003C65EC"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9F24A2" w:rsidRPr="00DA1A27" w:rsidRDefault="009F24A2" w:rsidP="008D765F">
            <w:pPr>
              <w:jc w:val="center"/>
              <w:rPr>
                <w:bCs/>
                <w:sz w:val="16"/>
                <w:szCs w:val="16"/>
              </w:rPr>
            </w:pPr>
            <w:r w:rsidRPr="00DA1A27">
              <w:rPr>
                <w:bCs/>
                <w:sz w:val="16"/>
                <w:szCs w:val="16"/>
              </w:rPr>
              <w:t>2.2.2</w:t>
            </w:r>
          </w:p>
        </w:tc>
        <w:tc>
          <w:tcPr>
            <w:tcW w:w="2337" w:type="dxa"/>
            <w:tcBorders>
              <w:top w:val="nil"/>
              <w:left w:val="nil"/>
              <w:bottom w:val="single" w:sz="4" w:space="0" w:color="auto"/>
              <w:right w:val="nil"/>
            </w:tcBorders>
            <w:shd w:val="clear" w:color="auto" w:fill="auto"/>
            <w:noWrap/>
            <w:hideMark/>
          </w:tcPr>
          <w:p w:rsidR="009F24A2" w:rsidRPr="00DA1A27" w:rsidRDefault="009F24A2" w:rsidP="008D765F">
            <w:pPr>
              <w:rPr>
                <w:sz w:val="16"/>
                <w:szCs w:val="16"/>
              </w:rPr>
            </w:pPr>
            <w:r w:rsidRPr="00DA1A27">
              <w:rPr>
                <w:sz w:val="16"/>
                <w:szCs w:val="16"/>
              </w:rPr>
              <w:t>Ночная зона</w:t>
            </w:r>
          </w:p>
        </w:tc>
        <w:tc>
          <w:tcPr>
            <w:tcW w:w="1113" w:type="dxa"/>
            <w:tcBorders>
              <w:top w:val="nil"/>
              <w:left w:val="single" w:sz="4" w:space="0" w:color="auto"/>
              <w:bottom w:val="single" w:sz="4" w:space="0" w:color="auto"/>
              <w:right w:val="nil"/>
            </w:tcBorders>
            <w:shd w:val="clear" w:color="auto" w:fill="auto"/>
            <w:noWrap/>
            <w:hideMark/>
          </w:tcPr>
          <w:p w:rsidR="009F24A2" w:rsidRPr="00DA1A27" w:rsidRDefault="009F24A2" w:rsidP="008D765F">
            <w:pPr>
              <w:rPr>
                <w:sz w:val="16"/>
                <w:szCs w:val="16"/>
              </w:rPr>
            </w:pPr>
            <w:r w:rsidRPr="00DA1A27">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1394" w:type="dxa"/>
            <w:gridSpan w:val="2"/>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1288" w:type="dxa"/>
            <w:gridSpan w:val="2"/>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1004" w:type="dxa"/>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vAlign w:val="center"/>
            <w:hideMark/>
          </w:tcPr>
          <w:p w:rsidR="009F24A2" w:rsidRPr="00D7336C" w:rsidRDefault="009F24A2" w:rsidP="008E6383">
            <w:pPr>
              <w:jc w:val="right"/>
            </w:pPr>
            <w:r>
              <w:t>1,</w:t>
            </w:r>
            <w:r w:rsidR="008E6383">
              <w:t>67</w:t>
            </w:r>
          </w:p>
        </w:tc>
        <w:tc>
          <w:tcPr>
            <w:tcW w:w="1297" w:type="dxa"/>
            <w:tcBorders>
              <w:top w:val="nil"/>
              <w:left w:val="single" w:sz="4" w:space="0" w:color="auto"/>
              <w:bottom w:val="single" w:sz="4" w:space="0" w:color="auto"/>
              <w:right w:val="nil"/>
            </w:tcBorders>
            <w:shd w:val="clear" w:color="auto" w:fill="auto"/>
            <w:noWrap/>
            <w:vAlign w:val="center"/>
            <w:hideMark/>
          </w:tcPr>
          <w:p w:rsidR="009F24A2" w:rsidRPr="00D7336C" w:rsidRDefault="009F24A2" w:rsidP="001E2223">
            <w:pPr>
              <w:jc w:val="center"/>
            </w:pPr>
            <w:r>
              <w:t>0,9254</w:t>
            </w:r>
          </w:p>
        </w:tc>
        <w:tc>
          <w:tcPr>
            <w:tcW w:w="992" w:type="dxa"/>
            <w:tcBorders>
              <w:top w:val="nil"/>
              <w:left w:val="single" w:sz="4" w:space="0" w:color="auto"/>
              <w:bottom w:val="single" w:sz="4" w:space="0" w:color="auto"/>
              <w:right w:val="nil"/>
            </w:tcBorders>
            <w:shd w:val="clear" w:color="auto" w:fill="auto"/>
            <w:noWrap/>
            <w:vAlign w:val="center"/>
            <w:hideMark/>
          </w:tcPr>
          <w:p w:rsidR="009F24A2" w:rsidRPr="00D7336C" w:rsidRDefault="009F24A2" w:rsidP="009F24A2">
            <w:pPr>
              <w:jc w:val="right"/>
            </w:pPr>
            <w:r w:rsidRPr="00D7336C">
              <w:t>0,</w:t>
            </w:r>
            <w:r w:rsidR="008E6383">
              <w:t>3445</w:t>
            </w:r>
          </w:p>
        </w:tc>
        <w:tc>
          <w:tcPr>
            <w:tcW w:w="993" w:type="dxa"/>
            <w:tcBorders>
              <w:top w:val="nil"/>
              <w:left w:val="single" w:sz="4" w:space="0" w:color="auto"/>
              <w:bottom w:val="single" w:sz="4" w:space="0" w:color="auto"/>
              <w:right w:val="nil"/>
            </w:tcBorders>
            <w:shd w:val="clear" w:color="auto" w:fill="auto"/>
            <w:noWrap/>
            <w:vAlign w:val="center"/>
            <w:hideMark/>
          </w:tcPr>
          <w:p w:rsidR="009F24A2" w:rsidRPr="00D7336C" w:rsidRDefault="009F24A2" w:rsidP="009F24A2">
            <w:pPr>
              <w:jc w:val="right"/>
            </w:pPr>
            <w:r w:rsidRPr="00D7336C">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F24A2" w:rsidRPr="00D7336C" w:rsidRDefault="009F24A2" w:rsidP="009F24A2">
            <w:pPr>
              <w:jc w:val="right"/>
            </w:pPr>
            <w:r w:rsidRPr="00D7336C">
              <w:t>0,3999</w:t>
            </w:r>
          </w:p>
        </w:tc>
      </w:tr>
      <w:tr w:rsidR="009F24A2" w:rsidRPr="003C65EC" w:rsidTr="009732C1">
        <w:trPr>
          <w:gridAfter w:val="4"/>
          <w:wAfter w:w="4292" w:type="dxa"/>
          <w:trHeight w:val="330"/>
        </w:trPr>
        <w:tc>
          <w:tcPr>
            <w:tcW w:w="711" w:type="dxa"/>
            <w:tcBorders>
              <w:top w:val="nil"/>
              <w:left w:val="single" w:sz="4" w:space="0" w:color="auto"/>
              <w:bottom w:val="single" w:sz="4" w:space="0" w:color="auto"/>
              <w:right w:val="single" w:sz="4" w:space="0" w:color="auto"/>
            </w:tcBorders>
            <w:shd w:val="clear" w:color="auto" w:fill="auto"/>
            <w:noWrap/>
            <w:hideMark/>
          </w:tcPr>
          <w:p w:rsidR="009F24A2" w:rsidRPr="00DA1A27" w:rsidRDefault="009F24A2" w:rsidP="008D765F">
            <w:pPr>
              <w:jc w:val="center"/>
              <w:rPr>
                <w:bCs/>
                <w:sz w:val="16"/>
                <w:szCs w:val="16"/>
              </w:rPr>
            </w:pPr>
            <w:r w:rsidRPr="00DA1A27">
              <w:rPr>
                <w:bCs/>
                <w:sz w:val="16"/>
                <w:szCs w:val="16"/>
              </w:rPr>
              <w:t>2.3</w:t>
            </w:r>
          </w:p>
        </w:tc>
        <w:tc>
          <w:tcPr>
            <w:tcW w:w="7223" w:type="dxa"/>
            <w:gridSpan w:val="7"/>
            <w:tcBorders>
              <w:top w:val="single" w:sz="4" w:space="0" w:color="auto"/>
              <w:left w:val="nil"/>
              <w:bottom w:val="single" w:sz="4" w:space="0" w:color="auto"/>
              <w:right w:val="nil"/>
            </w:tcBorders>
            <w:shd w:val="clear" w:color="auto" w:fill="auto"/>
            <w:noWrap/>
            <w:hideMark/>
          </w:tcPr>
          <w:p w:rsidR="009F24A2" w:rsidRPr="00DA1A27" w:rsidRDefault="009F24A2" w:rsidP="008D765F">
            <w:pPr>
              <w:rPr>
                <w:bCs/>
                <w:sz w:val="16"/>
                <w:szCs w:val="16"/>
              </w:rPr>
            </w:pPr>
            <w:r w:rsidRPr="00DA1A27">
              <w:rPr>
                <w:bCs/>
                <w:sz w:val="16"/>
                <w:szCs w:val="16"/>
              </w:rPr>
              <w:t xml:space="preserve">Одноставочный тариф, дифференцированный по трем зонам суток </w:t>
            </w:r>
            <w:r>
              <w:rPr>
                <w:bCs/>
                <w:sz w:val="16"/>
                <w:szCs w:val="16"/>
                <w:vertAlign w:val="superscript"/>
              </w:rPr>
              <w:t>*</w:t>
            </w:r>
          </w:p>
        </w:tc>
        <w:tc>
          <w:tcPr>
            <w:tcW w:w="912" w:type="dxa"/>
            <w:tcBorders>
              <w:top w:val="nil"/>
              <w:left w:val="nil"/>
              <w:bottom w:val="single" w:sz="4" w:space="0" w:color="auto"/>
              <w:right w:val="nil"/>
            </w:tcBorders>
            <w:shd w:val="clear" w:color="auto" w:fill="auto"/>
            <w:noWrap/>
            <w:hideMark/>
          </w:tcPr>
          <w:p w:rsidR="009F24A2" w:rsidRPr="00DA1A27" w:rsidRDefault="009F24A2" w:rsidP="008D765F">
            <w:pPr>
              <w:rPr>
                <w:bCs/>
                <w:sz w:val="16"/>
                <w:szCs w:val="16"/>
              </w:rPr>
            </w:pPr>
            <w:r w:rsidRPr="00DA1A27">
              <w:rPr>
                <w:bCs/>
                <w:sz w:val="16"/>
                <w:szCs w:val="16"/>
              </w:rPr>
              <w:t> </w:t>
            </w:r>
          </w:p>
        </w:tc>
        <w:tc>
          <w:tcPr>
            <w:tcW w:w="1004" w:type="dxa"/>
            <w:tcBorders>
              <w:top w:val="nil"/>
              <w:left w:val="nil"/>
              <w:bottom w:val="single" w:sz="4" w:space="0" w:color="auto"/>
              <w:right w:val="nil"/>
            </w:tcBorders>
            <w:shd w:val="clear" w:color="auto" w:fill="auto"/>
            <w:noWrap/>
            <w:hideMark/>
          </w:tcPr>
          <w:p w:rsidR="009F24A2" w:rsidRPr="00DA1A27" w:rsidRDefault="009F24A2" w:rsidP="008D765F">
            <w:pPr>
              <w:rPr>
                <w:bCs/>
                <w:sz w:val="16"/>
                <w:szCs w:val="16"/>
              </w:rPr>
            </w:pPr>
            <w:r w:rsidRPr="00DA1A27">
              <w:rPr>
                <w:bCs/>
                <w:sz w:val="16"/>
                <w:szCs w:val="16"/>
              </w:rPr>
              <w:t> </w:t>
            </w:r>
          </w:p>
        </w:tc>
        <w:tc>
          <w:tcPr>
            <w:tcW w:w="912" w:type="dxa"/>
            <w:tcBorders>
              <w:top w:val="nil"/>
              <w:left w:val="nil"/>
              <w:bottom w:val="single" w:sz="4" w:space="0" w:color="auto"/>
              <w:right w:val="nil"/>
            </w:tcBorders>
            <w:shd w:val="clear" w:color="auto" w:fill="auto"/>
            <w:noWrap/>
            <w:hideMark/>
          </w:tcPr>
          <w:p w:rsidR="009F24A2" w:rsidRPr="00D7336C" w:rsidRDefault="009F24A2" w:rsidP="008D765F">
            <w:pPr>
              <w:rPr>
                <w:bCs/>
              </w:rPr>
            </w:pPr>
            <w:r w:rsidRPr="00D7336C">
              <w:rPr>
                <w:bCs/>
              </w:rPr>
              <w:t> </w:t>
            </w:r>
          </w:p>
        </w:tc>
        <w:tc>
          <w:tcPr>
            <w:tcW w:w="1297" w:type="dxa"/>
            <w:tcBorders>
              <w:top w:val="nil"/>
              <w:left w:val="nil"/>
              <w:bottom w:val="single" w:sz="4" w:space="0" w:color="auto"/>
              <w:right w:val="nil"/>
            </w:tcBorders>
            <w:shd w:val="clear" w:color="auto" w:fill="auto"/>
            <w:noWrap/>
            <w:hideMark/>
          </w:tcPr>
          <w:p w:rsidR="009F24A2" w:rsidRPr="00D7336C" w:rsidRDefault="009F24A2" w:rsidP="008D765F">
            <w:pPr>
              <w:rPr>
                <w:bCs/>
              </w:rPr>
            </w:pPr>
            <w:r w:rsidRPr="00D7336C">
              <w:rPr>
                <w:bCs/>
              </w:rPr>
              <w:t> </w:t>
            </w:r>
          </w:p>
        </w:tc>
        <w:tc>
          <w:tcPr>
            <w:tcW w:w="992" w:type="dxa"/>
            <w:tcBorders>
              <w:top w:val="nil"/>
              <w:left w:val="nil"/>
              <w:bottom w:val="single" w:sz="4" w:space="0" w:color="auto"/>
              <w:right w:val="nil"/>
            </w:tcBorders>
            <w:shd w:val="clear" w:color="auto" w:fill="auto"/>
            <w:noWrap/>
            <w:hideMark/>
          </w:tcPr>
          <w:p w:rsidR="009F24A2" w:rsidRPr="00D7336C" w:rsidRDefault="009F24A2" w:rsidP="008D765F">
            <w:pPr>
              <w:rPr>
                <w:bCs/>
              </w:rPr>
            </w:pPr>
            <w:r w:rsidRPr="00D7336C">
              <w:rPr>
                <w:bCs/>
              </w:rPr>
              <w:t> </w:t>
            </w:r>
          </w:p>
        </w:tc>
        <w:tc>
          <w:tcPr>
            <w:tcW w:w="993" w:type="dxa"/>
            <w:tcBorders>
              <w:top w:val="nil"/>
              <w:left w:val="nil"/>
              <w:bottom w:val="single" w:sz="4" w:space="0" w:color="auto"/>
              <w:right w:val="nil"/>
            </w:tcBorders>
            <w:shd w:val="clear" w:color="auto" w:fill="auto"/>
            <w:noWrap/>
            <w:hideMark/>
          </w:tcPr>
          <w:p w:rsidR="009F24A2" w:rsidRPr="00D7336C" w:rsidRDefault="009F24A2" w:rsidP="008D765F">
            <w:pPr>
              <w:rPr>
                <w:bCs/>
              </w:rPr>
            </w:pPr>
            <w:r w:rsidRPr="00D7336C">
              <w:rPr>
                <w:bCs/>
              </w:rPr>
              <w:t> </w:t>
            </w:r>
          </w:p>
        </w:tc>
        <w:tc>
          <w:tcPr>
            <w:tcW w:w="1073" w:type="dxa"/>
            <w:tcBorders>
              <w:top w:val="nil"/>
              <w:left w:val="nil"/>
              <w:bottom w:val="single" w:sz="4" w:space="0" w:color="auto"/>
              <w:right w:val="single" w:sz="4" w:space="0" w:color="auto"/>
            </w:tcBorders>
            <w:shd w:val="clear" w:color="auto" w:fill="auto"/>
            <w:noWrap/>
            <w:hideMark/>
          </w:tcPr>
          <w:p w:rsidR="009F24A2" w:rsidRPr="00D7336C" w:rsidRDefault="009F24A2" w:rsidP="008D765F">
            <w:pPr>
              <w:rPr>
                <w:bCs/>
              </w:rPr>
            </w:pPr>
            <w:r w:rsidRPr="00D7336C">
              <w:rPr>
                <w:bCs/>
              </w:rPr>
              <w:t> </w:t>
            </w:r>
          </w:p>
        </w:tc>
      </w:tr>
      <w:tr w:rsidR="009F24A2" w:rsidRPr="003C65EC" w:rsidTr="009732C1">
        <w:trPr>
          <w:gridAfter w:val="4"/>
          <w:wAfter w:w="4292" w:type="dxa"/>
          <w:trHeight w:val="30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9F24A2" w:rsidRPr="00DA1A27" w:rsidRDefault="009F24A2" w:rsidP="008D765F">
            <w:pPr>
              <w:jc w:val="center"/>
              <w:rPr>
                <w:bCs/>
                <w:sz w:val="16"/>
                <w:szCs w:val="16"/>
              </w:rPr>
            </w:pPr>
            <w:r w:rsidRPr="00DA1A27">
              <w:rPr>
                <w:bCs/>
                <w:sz w:val="16"/>
                <w:szCs w:val="16"/>
              </w:rPr>
              <w:lastRenderedPageBreak/>
              <w:t>2.3.1</w:t>
            </w:r>
          </w:p>
        </w:tc>
        <w:tc>
          <w:tcPr>
            <w:tcW w:w="2337" w:type="dxa"/>
            <w:tcBorders>
              <w:top w:val="single" w:sz="4" w:space="0" w:color="auto"/>
              <w:left w:val="nil"/>
              <w:bottom w:val="single" w:sz="4" w:space="0" w:color="auto"/>
              <w:right w:val="nil"/>
            </w:tcBorders>
            <w:shd w:val="clear" w:color="auto" w:fill="auto"/>
            <w:noWrap/>
            <w:hideMark/>
          </w:tcPr>
          <w:p w:rsidR="009F24A2" w:rsidRPr="00DA1A27" w:rsidRDefault="009F24A2" w:rsidP="008D765F">
            <w:pPr>
              <w:rPr>
                <w:sz w:val="16"/>
                <w:szCs w:val="16"/>
              </w:rPr>
            </w:pPr>
            <w:r w:rsidRPr="00DA1A27">
              <w:rPr>
                <w:sz w:val="16"/>
                <w:szCs w:val="16"/>
              </w:rPr>
              <w:t>Пиковая зона</w:t>
            </w:r>
          </w:p>
        </w:tc>
        <w:tc>
          <w:tcPr>
            <w:tcW w:w="1113" w:type="dxa"/>
            <w:tcBorders>
              <w:top w:val="single" w:sz="4" w:space="0" w:color="auto"/>
              <w:left w:val="single" w:sz="4" w:space="0" w:color="auto"/>
              <w:bottom w:val="single" w:sz="4" w:space="0" w:color="auto"/>
              <w:right w:val="nil"/>
            </w:tcBorders>
            <w:shd w:val="clear" w:color="auto" w:fill="auto"/>
            <w:noWrap/>
            <w:hideMark/>
          </w:tcPr>
          <w:p w:rsidR="009F24A2" w:rsidRPr="00DA1A27" w:rsidRDefault="009F24A2" w:rsidP="008D765F">
            <w:pPr>
              <w:rPr>
                <w:sz w:val="16"/>
                <w:szCs w:val="16"/>
              </w:rPr>
            </w:pPr>
            <w:r w:rsidRPr="00DA1A27">
              <w:rPr>
                <w:sz w:val="16"/>
                <w:szCs w:val="16"/>
              </w:rPr>
              <w:t>руб./кВт·ч</w:t>
            </w:r>
          </w:p>
        </w:tc>
        <w:tc>
          <w:tcPr>
            <w:tcW w:w="1091" w:type="dxa"/>
            <w:tcBorders>
              <w:top w:val="single" w:sz="4" w:space="0" w:color="auto"/>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1394" w:type="dxa"/>
            <w:gridSpan w:val="2"/>
            <w:tcBorders>
              <w:top w:val="single" w:sz="4" w:space="0" w:color="auto"/>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1288" w:type="dxa"/>
            <w:gridSpan w:val="2"/>
            <w:tcBorders>
              <w:top w:val="single" w:sz="4" w:space="0" w:color="auto"/>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912" w:type="dxa"/>
            <w:tcBorders>
              <w:top w:val="single" w:sz="4" w:space="0" w:color="auto"/>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1004" w:type="dxa"/>
            <w:tcBorders>
              <w:top w:val="single" w:sz="4" w:space="0" w:color="auto"/>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912" w:type="dxa"/>
            <w:tcBorders>
              <w:top w:val="single" w:sz="4" w:space="0" w:color="auto"/>
              <w:left w:val="single" w:sz="4" w:space="0" w:color="auto"/>
              <w:bottom w:val="single" w:sz="4" w:space="0" w:color="auto"/>
              <w:right w:val="nil"/>
            </w:tcBorders>
            <w:shd w:val="clear" w:color="auto" w:fill="auto"/>
            <w:noWrap/>
            <w:hideMark/>
          </w:tcPr>
          <w:p w:rsidR="009F24A2" w:rsidRPr="00D7336C" w:rsidRDefault="009F24A2" w:rsidP="008E6383">
            <w:pPr>
              <w:jc w:val="right"/>
            </w:pPr>
            <w:r>
              <w:t>3,2</w:t>
            </w:r>
            <w:r w:rsidR="008E6383">
              <w:t>5</w:t>
            </w:r>
          </w:p>
        </w:tc>
        <w:tc>
          <w:tcPr>
            <w:tcW w:w="1297" w:type="dxa"/>
            <w:tcBorders>
              <w:top w:val="single" w:sz="4" w:space="0" w:color="auto"/>
              <w:left w:val="single" w:sz="4" w:space="0" w:color="auto"/>
              <w:bottom w:val="single" w:sz="4" w:space="0" w:color="auto"/>
              <w:right w:val="nil"/>
            </w:tcBorders>
            <w:shd w:val="clear" w:color="auto" w:fill="auto"/>
            <w:noWrap/>
            <w:hideMark/>
          </w:tcPr>
          <w:p w:rsidR="009F24A2" w:rsidRPr="00D7336C" w:rsidRDefault="00B14CA1" w:rsidP="00B14CA1">
            <w:pPr>
              <w:jc w:val="right"/>
            </w:pPr>
            <w:r>
              <w:t>2,2783</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rsidR="009F24A2" w:rsidRPr="00D7336C" w:rsidRDefault="009F24A2" w:rsidP="009F24A2">
            <w:pPr>
              <w:jc w:val="right"/>
            </w:pPr>
            <w:r w:rsidRPr="00D7336C">
              <w:t>0,5645</w:t>
            </w:r>
          </w:p>
        </w:tc>
        <w:tc>
          <w:tcPr>
            <w:tcW w:w="993" w:type="dxa"/>
            <w:tcBorders>
              <w:top w:val="single" w:sz="4" w:space="0" w:color="auto"/>
              <w:left w:val="single" w:sz="4" w:space="0" w:color="auto"/>
              <w:bottom w:val="single" w:sz="4" w:space="0" w:color="auto"/>
              <w:right w:val="nil"/>
            </w:tcBorders>
            <w:shd w:val="clear" w:color="auto" w:fill="auto"/>
            <w:noWrap/>
            <w:vAlign w:val="center"/>
            <w:hideMark/>
          </w:tcPr>
          <w:p w:rsidR="009F24A2" w:rsidRPr="00D7336C" w:rsidRDefault="009F24A2" w:rsidP="009F24A2">
            <w:pPr>
              <w:jc w:val="right"/>
            </w:pPr>
            <w:r w:rsidRPr="00D7336C">
              <w:t>0,0032</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4A2" w:rsidRPr="00D7336C" w:rsidRDefault="009F24A2" w:rsidP="009F24A2">
            <w:pPr>
              <w:jc w:val="right"/>
            </w:pPr>
            <w:r w:rsidRPr="00D7336C">
              <w:t>0,3999</w:t>
            </w:r>
          </w:p>
        </w:tc>
      </w:tr>
      <w:tr w:rsidR="009F24A2" w:rsidRPr="003C65EC"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9F24A2" w:rsidRPr="00DA1A27" w:rsidRDefault="009F24A2" w:rsidP="008D765F">
            <w:pPr>
              <w:jc w:val="center"/>
              <w:rPr>
                <w:bCs/>
                <w:sz w:val="16"/>
                <w:szCs w:val="16"/>
              </w:rPr>
            </w:pPr>
            <w:r w:rsidRPr="00DA1A27">
              <w:rPr>
                <w:bCs/>
                <w:sz w:val="16"/>
                <w:szCs w:val="16"/>
              </w:rPr>
              <w:t>2.3.2</w:t>
            </w:r>
          </w:p>
        </w:tc>
        <w:tc>
          <w:tcPr>
            <w:tcW w:w="2337" w:type="dxa"/>
            <w:tcBorders>
              <w:top w:val="nil"/>
              <w:left w:val="nil"/>
              <w:bottom w:val="single" w:sz="4" w:space="0" w:color="auto"/>
              <w:right w:val="nil"/>
            </w:tcBorders>
            <w:shd w:val="clear" w:color="auto" w:fill="auto"/>
            <w:noWrap/>
            <w:hideMark/>
          </w:tcPr>
          <w:p w:rsidR="009F24A2" w:rsidRPr="00DA1A27" w:rsidRDefault="009F24A2" w:rsidP="008D765F">
            <w:pPr>
              <w:rPr>
                <w:sz w:val="16"/>
                <w:szCs w:val="16"/>
              </w:rPr>
            </w:pPr>
            <w:r w:rsidRPr="00DA1A27">
              <w:rPr>
                <w:sz w:val="16"/>
                <w:szCs w:val="16"/>
              </w:rPr>
              <w:t>Полупиковая зона</w:t>
            </w:r>
          </w:p>
        </w:tc>
        <w:tc>
          <w:tcPr>
            <w:tcW w:w="1113" w:type="dxa"/>
            <w:tcBorders>
              <w:top w:val="nil"/>
              <w:left w:val="single" w:sz="4" w:space="0" w:color="auto"/>
              <w:bottom w:val="single" w:sz="4" w:space="0" w:color="auto"/>
              <w:right w:val="nil"/>
            </w:tcBorders>
            <w:shd w:val="clear" w:color="auto" w:fill="auto"/>
            <w:noWrap/>
            <w:hideMark/>
          </w:tcPr>
          <w:p w:rsidR="009F24A2" w:rsidRPr="00DA1A27" w:rsidRDefault="009F24A2" w:rsidP="008D765F">
            <w:pPr>
              <w:rPr>
                <w:sz w:val="16"/>
                <w:szCs w:val="16"/>
              </w:rPr>
            </w:pPr>
            <w:r w:rsidRPr="00DA1A27">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1394" w:type="dxa"/>
            <w:gridSpan w:val="2"/>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1288" w:type="dxa"/>
            <w:gridSpan w:val="2"/>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1004" w:type="dxa"/>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vAlign w:val="center"/>
            <w:hideMark/>
          </w:tcPr>
          <w:p w:rsidR="009F24A2" w:rsidRPr="00D7336C" w:rsidRDefault="009F24A2" w:rsidP="00D7336C">
            <w:pPr>
              <w:jc w:val="right"/>
            </w:pPr>
            <w:r w:rsidRPr="00D7336C">
              <w:t>2,61</w:t>
            </w:r>
          </w:p>
        </w:tc>
        <w:tc>
          <w:tcPr>
            <w:tcW w:w="1297" w:type="dxa"/>
            <w:tcBorders>
              <w:top w:val="nil"/>
              <w:left w:val="single" w:sz="4" w:space="0" w:color="auto"/>
              <w:bottom w:val="single" w:sz="4" w:space="0" w:color="auto"/>
              <w:right w:val="nil"/>
            </w:tcBorders>
            <w:shd w:val="clear" w:color="auto" w:fill="auto"/>
            <w:noWrap/>
            <w:vAlign w:val="center"/>
            <w:hideMark/>
          </w:tcPr>
          <w:p w:rsidR="009F24A2" w:rsidRPr="00D7336C" w:rsidRDefault="009F24A2" w:rsidP="00D7336C">
            <w:pPr>
              <w:jc w:val="right"/>
            </w:pPr>
            <w:r w:rsidRPr="00D7336C">
              <w:t>1,6424</w:t>
            </w:r>
          </w:p>
        </w:tc>
        <w:tc>
          <w:tcPr>
            <w:tcW w:w="992" w:type="dxa"/>
            <w:tcBorders>
              <w:top w:val="nil"/>
              <w:left w:val="single" w:sz="4" w:space="0" w:color="auto"/>
              <w:bottom w:val="single" w:sz="4" w:space="0" w:color="auto"/>
              <w:right w:val="nil"/>
            </w:tcBorders>
            <w:shd w:val="clear" w:color="auto" w:fill="auto"/>
            <w:noWrap/>
            <w:vAlign w:val="center"/>
            <w:hideMark/>
          </w:tcPr>
          <w:p w:rsidR="009F24A2" w:rsidRPr="00D7336C" w:rsidRDefault="009F24A2" w:rsidP="00D7336C">
            <w:pPr>
              <w:jc w:val="right"/>
            </w:pPr>
            <w:r w:rsidRPr="00D7336C">
              <w:t>0,5645</w:t>
            </w:r>
          </w:p>
        </w:tc>
        <w:tc>
          <w:tcPr>
            <w:tcW w:w="993" w:type="dxa"/>
            <w:tcBorders>
              <w:top w:val="nil"/>
              <w:left w:val="single" w:sz="4" w:space="0" w:color="auto"/>
              <w:bottom w:val="single" w:sz="4" w:space="0" w:color="auto"/>
              <w:right w:val="nil"/>
            </w:tcBorders>
            <w:shd w:val="clear" w:color="auto" w:fill="auto"/>
            <w:noWrap/>
            <w:vAlign w:val="center"/>
            <w:hideMark/>
          </w:tcPr>
          <w:p w:rsidR="009F24A2" w:rsidRPr="00D7336C" w:rsidRDefault="009F24A2" w:rsidP="00D7336C">
            <w:pPr>
              <w:jc w:val="right"/>
            </w:pPr>
            <w:r w:rsidRPr="00D7336C">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F24A2" w:rsidRPr="00D7336C" w:rsidRDefault="009F24A2" w:rsidP="00D7336C">
            <w:pPr>
              <w:jc w:val="right"/>
            </w:pPr>
            <w:r w:rsidRPr="00D7336C">
              <w:t>0,3999</w:t>
            </w:r>
          </w:p>
        </w:tc>
      </w:tr>
      <w:tr w:rsidR="00B14CA1" w:rsidRPr="003C65EC"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B14CA1" w:rsidRPr="00DA1A27" w:rsidRDefault="00B14CA1" w:rsidP="008D765F">
            <w:pPr>
              <w:jc w:val="center"/>
              <w:rPr>
                <w:bCs/>
                <w:sz w:val="16"/>
                <w:szCs w:val="16"/>
              </w:rPr>
            </w:pPr>
            <w:r w:rsidRPr="00DA1A27">
              <w:rPr>
                <w:bCs/>
                <w:sz w:val="16"/>
                <w:szCs w:val="16"/>
              </w:rPr>
              <w:t>2.3.3</w:t>
            </w:r>
          </w:p>
        </w:tc>
        <w:tc>
          <w:tcPr>
            <w:tcW w:w="2337" w:type="dxa"/>
            <w:tcBorders>
              <w:top w:val="nil"/>
              <w:left w:val="nil"/>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Ночная зона</w:t>
            </w:r>
          </w:p>
        </w:tc>
        <w:tc>
          <w:tcPr>
            <w:tcW w:w="1113"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394"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288"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004"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D7336C">
            <w:pPr>
              <w:jc w:val="right"/>
            </w:pPr>
            <w:r>
              <w:t>1,</w:t>
            </w:r>
            <w:r w:rsidR="008E6383">
              <w:t>67</w:t>
            </w:r>
          </w:p>
        </w:tc>
        <w:tc>
          <w:tcPr>
            <w:tcW w:w="1297"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D7336C">
            <w:pPr>
              <w:jc w:val="right"/>
            </w:pPr>
            <w:r>
              <w:t>0,9254</w:t>
            </w:r>
            <w:r w:rsidRPr="00D7336C">
              <w:t> </w:t>
            </w:r>
          </w:p>
        </w:tc>
        <w:tc>
          <w:tcPr>
            <w:tcW w:w="992"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8E6383">
            <w:pPr>
              <w:jc w:val="right"/>
            </w:pPr>
            <w:r w:rsidRPr="00D7336C">
              <w:t>0,</w:t>
            </w:r>
            <w:r w:rsidR="008E6383">
              <w:t>3445</w:t>
            </w:r>
          </w:p>
        </w:tc>
        <w:tc>
          <w:tcPr>
            <w:tcW w:w="993"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8E6383">
            <w:pPr>
              <w:jc w:val="right"/>
            </w:pPr>
            <w:r w:rsidRPr="00D7336C">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B14CA1" w:rsidRPr="00D7336C" w:rsidRDefault="00B14CA1" w:rsidP="008E6383">
            <w:pPr>
              <w:jc w:val="right"/>
            </w:pPr>
            <w:r w:rsidRPr="00D7336C">
              <w:t>0,3999</w:t>
            </w:r>
          </w:p>
        </w:tc>
      </w:tr>
      <w:tr w:rsidR="00B14CA1" w:rsidRPr="003C65EC"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B14CA1" w:rsidRPr="00DA1A27" w:rsidRDefault="00B14CA1" w:rsidP="008D765F">
            <w:pPr>
              <w:jc w:val="center"/>
              <w:rPr>
                <w:bCs/>
                <w:sz w:val="16"/>
                <w:szCs w:val="16"/>
              </w:rPr>
            </w:pPr>
            <w:r w:rsidRPr="00DA1A27">
              <w:rPr>
                <w:bCs/>
                <w:sz w:val="16"/>
                <w:szCs w:val="16"/>
              </w:rPr>
              <w:t>3</w:t>
            </w:r>
          </w:p>
        </w:tc>
        <w:tc>
          <w:tcPr>
            <w:tcW w:w="10051" w:type="dxa"/>
            <w:gridSpan w:val="10"/>
            <w:tcBorders>
              <w:top w:val="single" w:sz="4" w:space="0" w:color="auto"/>
              <w:left w:val="nil"/>
              <w:bottom w:val="single" w:sz="4" w:space="0" w:color="auto"/>
              <w:right w:val="nil"/>
            </w:tcBorders>
            <w:shd w:val="clear" w:color="auto" w:fill="auto"/>
            <w:noWrap/>
            <w:hideMark/>
          </w:tcPr>
          <w:p w:rsidR="00B14CA1" w:rsidRPr="00DA1A27" w:rsidRDefault="00B14CA1" w:rsidP="008D765F">
            <w:pPr>
              <w:rPr>
                <w:iCs/>
                <w:sz w:val="16"/>
                <w:szCs w:val="16"/>
              </w:rPr>
            </w:pPr>
            <w:r w:rsidRPr="00DA1A27">
              <w:rPr>
                <w:iCs/>
                <w:sz w:val="16"/>
                <w:szCs w:val="16"/>
              </w:rPr>
              <w:t>Население, проживающее в сельских населенных пунктах (тарифы указываются с учетом НДС)</w:t>
            </w:r>
            <w:r>
              <w:rPr>
                <w:iCs/>
                <w:sz w:val="16"/>
                <w:szCs w:val="16"/>
              </w:rPr>
              <w:t>**</w:t>
            </w:r>
          </w:p>
        </w:tc>
        <w:tc>
          <w:tcPr>
            <w:tcW w:w="1297" w:type="dxa"/>
            <w:tcBorders>
              <w:top w:val="nil"/>
              <w:left w:val="nil"/>
              <w:bottom w:val="single" w:sz="4" w:space="0" w:color="auto"/>
              <w:right w:val="nil"/>
            </w:tcBorders>
            <w:shd w:val="clear" w:color="auto" w:fill="auto"/>
            <w:noWrap/>
            <w:hideMark/>
          </w:tcPr>
          <w:p w:rsidR="00B14CA1" w:rsidRPr="00DA1A27" w:rsidRDefault="00B14CA1" w:rsidP="008D765F">
            <w:pPr>
              <w:rPr>
                <w:i/>
                <w:iCs/>
                <w:sz w:val="16"/>
                <w:szCs w:val="16"/>
              </w:rPr>
            </w:pPr>
            <w:r w:rsidRPr="00DA1A27">
              <w:rPr>
                <w:i/>
                <w:iCs/>
                <w:sz w:val="16"/>
                <w:szCs w:val="16"/>
              </w:rPr>
              <w:t> </w:t>
            </w:r>
          </w:p>
        </w:tc>
        <w:tc>
          <w:tcPr>
            <w:tcW w:w="992" w:type="dxa"/>
            <w:tcBorders>
              <w:top w:val="nil"/>
              <w:left w:val="nil"/>
              <w:bottom w:val="single" w:sz="4" w:space="0" w:color="auto"/>
              <w:right w:val="nil"/>
            </w:tcBorders>
            <w:shd w:val="clear" w:color="auto" w:fill="auto"/>
            <w:noWrap/>
            <w:hideMark/>
          </w:tcPr>
          <w:p w:rsidR="00B14CA1" w:rsidRPr="00DA1A27" w:rsidRDefault="00B14CA1" w:rsidP="008D765F">
            <w:pPr>
              <w:rPr>
                <w:i/>
                <w:iCs/>
                <w:sz w:val="16"/>
                <w:szCs w:val="16"/>
              </w:rPr>
            </w:pPr>
            <w:r w:rsidRPr="00DA1A27">
              <w:rPr>
                <w:i/>
                <w:iCs/>
                <w:sz w:val="16"/>
                <w:szCs w:val="16"/>
              </w:rPr>
              <w:t> </w:t>
            </w:r>
          </w:p>
        </w:tc>
        <w:tc>
          <w:tcPr>
            <w:tcW w:w="993" w:type="dxa"/>
            <w:tcBorders>
              <w:top w:val="nil"/>
              <w:left w:val="nil"/>
              <w:bottom w:val="single" w:sz="4" w:space="0" w:color="auto"/>
              <w:right w:val="nil"/>
            </w:tcBorders>
            <w:shd w:val="clear" w:color="auto" w:fill="auto"/>
            <w:noWrap/>
            <w:hideMark/>
          </w:tcPr>
          <w:p w:rsidR="00B14CA1" w:rsidRPr="00DA1A27" w:rsidRDefault="00B14CA1" w:rsidP="008D765F">
            <w:pPr>
              <w:rPr>
                <w:i/>
                <w:iCs/>
                <w:sz w:val="16"/>
                <w:szCs w:val="16"/>
              </w:rPr>
            </w:pPr>
            <w:r w:rsidRPr="00DA1A27">
              <w:rPr>
                <w:i/>
                <w:iCs/>
                <w:sz w:val="16"/>
                <w:szCs w:val="16"/>
              </w:rPr>
              <w:t> </w:t>
            </w:r>
          </w:p>
        </w:tc>
        <w:tc>
          <w:tcPr>
            <w:tcW w:w="1073" w:type="dxa"/>
            <w:tcBorders>
              <w:top w:val="nil"/>
              <w:left w:val="nil"/>
              <w:bottom w:val="single" w:sz="4" w:space="0" w:color="auto"/>
              <w:right w:val="single" w:sz="4" w:space="0" w:color="auto"/>
            </w:tcBorders>
            <w:shd w:val="clear" w:color="auto" w:fill="auto"/>
            <w:noWrap/>
            <w:hideMark/>
          </w:tcPr>
          <w:p w:rsidR="00B14CA1" w:rsidRPr="00DA1A27" w:rsidRDefault="00B14CA1" w:rsidP="008D765F">
            <w:pPr>
              <w:rPr>
                <w:i/>
                <w:iCs/>
              </w:rPr>
            </w:pPr>
            <w:r w:rsidRPr="00DA1A27">
              <w:rPr>
                <w:i/>
                <w:iCs/>
              </w:rPr>
              <w:t> </w:t>
            </w:r>
          </w:p>
        </w:tc>
      </w:tr>
      <w:tr w:rsidR="00B14CA1" w:rsidRPr="003C65EC"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B14CA1" w:rsidRPr="00DA1A27" w:rsidRDefault="00B14CA1" w:rsidP="008D765F">
            <w:pPr>
              <w:jc w:val="center"/>
              <w:rPr>
                <w:bCs/>
                <w:sz w:val="16"/>
                <w:szCs w:val="16"/>
              </w:rPr>
            </w:pPr>
            <w:r w:rsidRPr="00DA1A27">
              <w:rPr>
                <w:bCs/>
                <w:sz w:val="16"/>
                <w:szCs w:val="16"/>
              </w:rPr>
              <w:t>3.1</w:t>
            </w:r>
          </w:p>
        </w:tc>
        <w:tc>
          <w:tcPr>
            <w:tcW w:w="2337" w:type="dxa"/>
            <w:tcBorders>
              <w:top w:val="nil"/>
              <w:left w:val="nil"/>
              <w:bottom w:val="single" w:sz="4" w:space="0" w:color="auto"/>
              <w:right w:val="nil"/>
            </w:tcBorders>
            <w:shd w:val="clear" w:color="auto" w:fill="auto"/>
            <w:noWrap/>
            <w:hideMark/>
          </w:tcPr>
          <w:p w:rsidR="00B14CA1" w:rsidRPr="00DA1A27" w:rsidRDefault="00B14CA1" w:rsidP="008D765F">
            <w:pPr>
              <w:rPr>
                <w:bCs/>
                <w:sz w:val="16"/>
                <w:szCs w:val="16"/>
              </w:rPr>
            </w:pPr>
            <w:r w:rsidRPr="00DA1A27">
              <w:rPr>
                <w:bCs/>
                <w:sz w:val="16"/>
                <w:szCs w:val="16"/>
              </w:rPr>
              <w:t>Одноставочный тариф</w:t>
            </w:r>
          </w:p>
        </w:tc>
        <w:tc>
          <w:tcPr>
            <w:tcW w:w="1113"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394"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288"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004"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D7336C">
            <w:pPr>
              <w:jc w:val="right"/>
            </w:pPr>
            <w:r w:rsidRPr="00D7336C">
              <w:t>2,61</w:t>
            </w:r>
          </w:p>
        </w:tc>
        <w:tc>
          <w:tcPr>
            <w:tcW w:w="1297"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D7336C">
            <w:pPr>
              <w:jc w:val="right"/>
            </w:pPr>
            <w:r w:rsidRPr="00D7336C">
              <w:t>1,6424</w:t>
            </w:r>
          </w:p>
        </w:tc>
        <w:tc>
          <w:tcPr>
            <w:tcW w:w="992"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D7336C">
            <w:pPr>
              <w:jc w:val="right"/>
            </w:pPr>
            <w:r w:rsidRPr="00D7336C">
              <w:t>0,5645</w:t>
            </w:r>
          </w:p>
        </w:tc>
        <w:tc>
          <w:tcPr>
            <w:tcW w:w="993"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D7336C">
            <w:pPr>
              <w:jc w:val="right"/>
            </w:pPr>
            <w:r w:rsidRPr="00D7336C">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B14CA1" w:rsidRPr="00D7336C" w:rsidRDefault="00B14CA1" w:rsidP="00D7336C">
            <w:pPr>
              <w:jc w:val="right"/>
            </w:pPr>
            <w:r w:rsidRPr="00D7336C">
              <w:t>0,3999</w:t>
            </w:r>
          </w:p>
        </w:tc>
      </w:tr>
      <w:tr w:rsidR="00B14CA1" w:rsidRPr="003C65EC" w:rsidTr="009F24A2">
        <w:trPr>
          <w:gridAfter w:val="4"/>
          <w:wAfter w:w="4292" w:type="dxa"/>
          <w:trHeight w:val="330"/>
        </w:trPr>
        <w:tc>
          <w:tcPr>
            <w:tcW w:w="711" w:type="dxa"/>
            <w:tcBorders>
              <w:top w:val="nil"/>
              <w:left w:val="single" w:sz="4" w:space="0" w:color="auto"/>
              <w:bottom w:val="single" w:sz="4" w:space="0" w:color="auto"/>
              <w:right w:val="single" w:sz="4" w:space="0" w:color="auto"/>
            </w:tcBorders>
            <w:shd w:val="clear" w:color="auto" w:fill="auto"/>
            <w:noWrap/>
            <w:hideMark/>
          </w:tcPr>
          <w:p w:rsidR="00B14CA1" w:rsidRPr="00DA1A27" w:rsidRDefault="00B14CA1" w:rsidP="008D765F">
            <w:pPr>
              <w:jc w:val="center"/>
              <w:rPr>
                <w:bCs/>
                <w:sz w:val="16"/>
                <w:szCs w:val="16"/>
              </w:rPr>
            </w:pPr>
            <w:r w:rsidRPr="00DA1A27">
              <w:rPr>
                <w:bCs/>
                <w:sz w:val="16"/>
                <w:szCs w:val="16"/>
              </w:rPr>
              <w:t>3.2</w:t>
            </w:r>
          </w:p>
        </w:tc>
        <w:tc>
          <w:tcPr>
            <w:tcW w:w="5935" w:type="dxa"/>
            <w:gridSpan w:val="5"/>
            <w:tcBorders>
              <w:top w:val="single" w:sz="4" w:space="0" w:color="auto"/>
              <w:left w:val="nil"/>
              <w:bottom w:val="single" w:sz="4" w:space="0" w:color="auto"/>
              <w:right w:val="nil"/>
            </w:tcBorders>
            <w:shd w:val="clear" w:color="auto" w:fill="auto"/>
            <w:noWrap/>
            <w:hideMark/>
          </w:tcPr>
          <w:p w:rsidR="00B14CA1" w:rsidRPr="00DA1A27" w:rsidRDefault="00B14CA1" w:rsidP="008D765F">
            <w:pPr>
              <w:rPr>
                <w:bCs/>
                <w:sz w:val="16"/>
                <w:szCs w:val="16"/>
              </w:rPr>
            </w:pPr>
            <w:r w:rsidRPr="00DA1A27">
              <w:rPr>
                <w:bCs/>
                <w:sz w:val="16"/>
                <w:szCs w:val="16"/>
              </w:rPr>
              <w:t xml:space="preserve">Одноставочный тариф, дифференцированный по двум зонам суток </w:t>
            </w:r>
            <w:r>
              <w:rPr>
                <w:bCs/>
                <w:sz w:val="16"/>
                <w:szCs w:val="16"/>
                <w:vertAlign w:val="superscript"/>
              </w:rPr>
              <w:t>*</w:t>
            </w:r>
          </w:p>
        </w:tc>
        <w:tc>
          <w:tcPr>
            <w:tcW w:w="1288" w:type="dxa"/>
            <w:gridSpan w:val="2"/>
            <w:tcBorders>
              <w:top w:val="nil"/>
              <w:left w:val="nil"/>
              <w:bottom w:val="single" w:sz="4" w:space="0" w:color="auto"/>
              <w:right w:val="nil"/>
            </w:tcBorders>
            <w:shd w:val="clear" w:color="auto" w:fill="auto"/>
            <w:noWrap/>
            <w:hideMark/>
          </w:tcPr>
          <w:p w:rsidR="00B14CA1" w:rsidRPr="00DA1A27" w:rsidRDefault="00B14CA1" w:rsidP="008D765F">
            <w:pPr>
              <w:rPr>
                <w:bCs/>
                <w:sz w:val="16"/>
                <w:szCs w:val="16"/>
              </w:rPr>
            </w:pPr>
            <w:r w:rsidRPr="00DA1A27">
              <w:rPr>
                <w:bCs/>
                <w:sz w:val="16"/>
                <w:szCs w:val="16"/>
              </w:rPr>
              <w:t> </w:t>
            </w:r>
          </w:p>
        </w:tc>
        <w:tc>
          <w:tcPr>
            <w:tcW w:w="912" w:type="dxa"/>
            <w:tcBorders>
              <w:top w:val="nil"/>
              <w:left w:val="nil"/>
              <w:bottom w:val="single" w:sz="4" w:space="0" w:color="auto"/>
              <w:right w:val="nil"/>
            </w:tcBorders>
            <w:shd w:val="clear" w:color="auto" w:fill="auto"/>
            <w:noWrap/>
            <w:hideMark/>
          </w:tcPr>
          <w:p w:rsidR="00B14CA1" w:rsidRPr="00DA1A27" w:rsidRDefault="00B14CA1" w:rsidP="008D765F">
            <w:pPr>
              <w:rPr>
                <w:bCs/>
                <w:sz w:val="16"/>
                <w:szCs w:val="16"/>
              </w:rPr>
            </w:pPr>
            <w:r w:rsidRPr="00DA1A27">
              <w:rPr>
                <w:bCs/>
                <w:sz w:val="16"/>
                <w:szCs w:val="16"/>
              </w:rPr>
              <w:t> </w:t>
            </w:r>
          </w:p>
        </w:tc>
        <w:tc>
          <w:tcPr>
            <w:tcW w:w="1004" w:type="dxa"/>
            <w:tcBorders>
              <w:top w:val="nil"/>
              <w:left w:val="nil"/>
              <w:bottom w:val="single" w:sz="4" w:space="0" w:color="auto"/>
              <w:right w:val="nil"/>
            </w:tcBorders>
            <w:shd w:val="clear" w:color="auto" w:fill="auto"/>
            <w:noWrap/>
            <w:hideMark/>
          </w:tcPr>
          <w:p w:rsidR="00B14CA1" w:rsidRPr="00DA1A27" w:rsidRDefault="00B14CA1" w:rsidP="008D765F">
            <w:pPr>
              <w:rPr>
                <w:bCs/>
                <w:sz w:val="16"/>
                <w:szCs w:val="16"/>
              </w:rPr>
            </w:pPr>
            <w:r w:rsidRPr="00DA1A27">
              <w:rPr>
                <w:bCs/>
                <w:sz w:val="16"/>
                <w:szCs w:val="16"/>
              </w:rPr>
              <w:t> </w:t>
            </w:r>
          </w:p>
        </w:tc>
        <w:tc>
          <w:tcPr>
            <w:tcW w:w="912" w:type="dxa"/>
            <w:tcBorders>
              <w:top w:val="nil"/>
              <w:left w:val="nil"/>
              <w:bottom w:val="single" w:sz="4" w:space="0" w:color="auto"/>
              <w:right w:val="nil"/>
            </w:tcBorders>
            <w:shd w:val="clear" w:color="auto" w:fill="auto"/>
            <w:noWrap/>
            <w:vAlign w:val="center"/>
            <w:hideMark/>
          </w:tcPr>
          <w:p w:rsidR="00B14CA1" w:rsidRPr="00D7336C" w:rsidRDefault="00B14CA1" w:rsidP="00D7336C">
            <w:pPr>
              <w:jc w:val="right"/>
              <w:rPr>
                <w:bCs/>
              </w:rPr>
            </w:pPr>
            <w:r w:rsidRPr="00D7336C">
              <w:rPr>
                <w:bCs/>
              </w:rPr>
              <w:t> </w:t>
            </w:r>
          </w:p>
        </w:tc>
        <w:tc>
          <w:tcPr>
            <w:tcW w:w="1297" w:type="dxa"/>
            <w:tcBorders>
              <w:top w:val="nil"/>
              <w:left w:val="nil"/>
              <w:bottom w:val="single" w:sz="4" w:space="0" w:color="auto"/>
              <w:right w:val="nil"/>
            </w:tcBorders>
            <w:shd w:val="clear" w:color="auto" w:fill="auto"/>
            <w:noWrap/>
            <w:vAlign w:val="center"/>
            <w:hideMark/>
          </w:tcPr>
          <w:p w:rsidR="00B14CA1" w:rsidRPr="00D7336C" w:rsidRDefault="00B14CA1" w:rsidP="00D7336C">
            <w:pPr>
              <w:jc w:val="right"/>
              <w:rPr>
                <w:bCs/>
              </w:rPr>
            </w:pPr>
            <w:r w:rsidRPr="00D7336C">
              <w:rPr>
                <w:bCs/>
              </w:rPr>
              <w:t> </w:t>
            </w:r>
          </w:p>
        </w:tc>
        <w:tc>
          <w:tcPr>
            <w:tcW w:w="992" w:type="dxa"/>
            <w:tcBorders>
              <w:top w:val="nil"/>
              <w:left w:val="nil"/>
              <w:bottom w:val="single" w:sz="4" w:space="0" w:color="auto"/>
              <w:right w:val="nil"/>
            </w:tcBorders>
            <w:shd w:val="clear" w:color="auto" w:fill="auto"/>
            <w:noWrap/>
            <w:vAlign w:val="center"/>
            <w:hideMark/>
          </w:tcPr>
          <w:p w:rsidR="00B14CA1" w:rsidRPr="00D7336C" w:rsidRDefault="00B14CA1" w:rsidP="00D7336C">
            <w:pPr>
              <w:jc w:val="right"/>
              <w:rPr>
                <w:bCs/>
              </w:rPr>
            </w:pPr>
            <w:r w:rsidRPr="00D7336C">
              <w:rPr>
                <w:bCs/>
              </w:rPr>
              <w:t> </w:t>
            </w:r>
          </w:p>
        </w:tc>
        <w:tc>
          <w:tcPr>
            <w:tcW w:w="993" w:type="dxa"/>
            <w:tcBorders>
              <w:top w:val="nil"/>
              <w:left w:val="nil"/>
              <w:bottom w:val="single" w:sz="4" w:space="0" w:color="auto"/>
              <w:right w:val="nil"/>
            </w:tcBorders>
            <w:shd w:val="clear" w:color="auto" w:fill="auto"/>
            <w:noWrap/>
            <w:vAlign w:val="center"/>
            <w:hideMark/>
          </w:tcPr>
          <w:p w:rsidR="00B14CA1" w:rsidRPr="00D7336C" w:rsidRDefault="00B14CA1" w:rsidP="00D7336C">
            <w:pPr>
              <w:jc w:val="right"/>
              <w:rPr>
                <w:bCs/>
              </w:rPr>
            </w:pPr>
            <w:r w:rsidRPr="00D7336C">
              <w:rPr>
                <w:bCs/>
              </w:rPr>
              <w:t> </w:t>
            </w:r>
          </w:p>
        </w:tc>
        <w:tc>
          <w:tcPr>
            <w:tcW w:w="1073" w:type="dxa"/>
            <w:tcBorders>
              <w:top w:val="nil"/>
              <w:left w:val="nil"/>
              <w:bottom w:val="single" w:sz="4" w:space="0" w:color="auto"/>
              <w:right w:val="single" w:sz="4" w:space="0" w:color="auto"/>
            </w:tcBorders>
            <w:shd w:val="clear" w:color="auto" w:fill="auto"/>
            <w:noWrap/>
            <w:vAlign w:val="center"/>
            <w:hideMark/>
          </w:tcPr>
          <w:p w:rsidR="00B14CA1" w:rsidRPr="00D7336C" w:rsidRDefault="00B14CA1" w:rsidP="00D7336C">
            <w:pPr>
              <w:jc w:val="right"/>
              <w:rPr>
                <w:bCs/>
              </w:rPr>
            </w:pPr>
            <w:r w:rsidRPr="00D7336C">
              <w:rPr>
                <w:bCs/>
              </w:rPr>
              <w:t> </w:t>
            </w:r>
          </w:p>
        </w:tc>
      </w:tr>
      <w:tr w:rsidR="00B14CA1" w:rsidRPr="003C65EC"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B14CA1" w:rsidRPr="00DA1A27" w:rsidRDefault="00B14CA1" w:rsidP="008D765F">
            <w:pPr>
              <w:jc w:val="center"/>
              <w:rPr>
                <w:bCs/>
                <w:sz w:val="16"/>
                <w:szCs w:val="16"/>
              </w:rPr>
            </w:pPr>
            <w:r w:rsidRPr="00DA1A27">
              <w:rPr>
                <w:bCs/>
                <w:sz w:val="16"/>
                <w:szCs w:val="16"/>
              </w:rPr>
              <w:t>3.2.1</w:t>
            </w:r>
          </w:p>
        </w:tc>
        <w:tc>
          <w:tcPr>
            <w:tcW w:w="2337" w:type="dxa"/>
            <w:tcBorders>
              <w:top w:val="nil"/>
              <w:left w:val="nil"/>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Дневная зона (пиковая и полупиковая)</w:t>
            </w:r>
          </w:p>
        </w:tc>
        <w:tc>
          <w:tcPr>
            <w:tcW w:w="1113"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394"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288"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004"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D7336C">
            <w:pPr>
              <w:jc w:val="right"/>
            </w:pPr>
            <w:r>
              <w:t>2,8</w:t>
            </w:r>
            <w:r w:rsidR="008E6383">
              <w:t>8</w:t>
            </w:r>
          </w:p>
        </w:tc>
        <w:tc>
          <w:tcPr>
            <w:tcW w:w="1297"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D7336C">
            <w:pPr>
              <w:jc w:val="right"/>
            </w:pPr>
            <w:r>
              <w:t>1,9083</w:t>
            </w:r>
            <w:r w:rsidRPr="00D7336C">
              <w:t> </w:t>
            </w:r>
          </w:p>
        </w:tc>
        <w:tc>
          <w:tcPr>
            <w:tcW w:w="992"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9F24A2">
            <w:pPr>
              <w:jc w:val="right"/>
            </w:pPr>
            <w:r w:rsidRPr="00D7336C">
              <w:t>0,5645</w:t>
            </w:r>
          </w:p>
        </w:tc>
        <w:tc>
          <w:tcPr>
            <w:tcW w:w="993"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9F24A2">
            <w:pPr>
              <w:jc w:val="right"/>
            </w:pPr>
            <w:r w:rsidRPr="00D7336C">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B14CA1" w:rsidRPr="00D7336C" w:rsidRDefault="00B14CA1" w:rsidP="009F24A2">
            <w:pPr>
              <w:jc w:val="right"/>
            </w:pPr>
            <w:r w:rsidRPr="00D7336C">
              <w:t>0,3999</w:t>
            </w:r>
          </w:p>
        </w:tc>
      </w:tr>
      <w:tr w:rsidR="00B14CA1" w:rsidRPr="003C65EC"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B14CA1" w:rsidRPr="00DA1A27" w:rsidRDefault="00B14CA1" w:rsidP="008D765F">
            <w:pPr>
              <w:jc w:val="center"/>
              <w:rPr>
                <w:bCs/>
                <w:sz w:val="16"/>
                <w:szCs w:val="16"/>
              </w:rPr>
            </w:pPr>
            <w:r w:rsidRPr="00DA1A27">
              <w:rPr>
                <w:bCs/>
                <w:sz w:val="16"/>
                <w:szCs w:val="16"/>
              </w:rPr>
              <w:t>3.2.2</w:t>
            </w:r>
          </w:p>
        </w:tc>
        <w:tc>
          <w:tcPr>
            <w:tcW w:w="2337" w:type="dxa"/>
            <w:tcBorders>
              <w:top w:val="nil"/>
              <w:left w:val="nil"/>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Ночная зона</w:t>
            </w:r>
          </w:p>
        </w:tc>
        <w:tc>
          <w:tcPr>
            <w:tcW w:w="1113"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394"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288"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004"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D7336C">
            <w:pPr>
              <w:jc w:val="right"/>
            </w:pPr>
            <w:r>
              <w:t>1,</w:t>
            </w:r>
            <w:r w:rsidR="008E6383">
              <w:t>67</w:t>
            </w:r>
          </w:p>
        </w:tc>
        <w:tc>
          <w:tcPr>
            <w:tcW w:w="1297"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D7336C">
            <w:pPr>
              <w:jc w:val="right"/>
            </w:pPr>
            <w:r w:rsidRPr="00D7336C">
              <w:t> </w:t>
            </w:r>
            <w:r>
              <w:t>0,9254</w:t>
            </w:r>
          </w:p>
        </w:tc>
        <w:tc>
          <w:tcPr>
            <w:tcW w:w="992"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9F24A2">
            <w:pPr>
              <w:jc w:val="right"/>
            </w:pPr>
            <w:r w:rsidRPr="00D7336C">
              <w:t>0,</w:t>
            </w:r>
            <w:r w:rsidR="008E6383">
              <w:t>3445</w:t>
            </w:r>
          </w:p>
        </w:tc>
        <w:tc>
          <w:tcPr>
            <w:tcW w:w="993"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9F24A2">
            <w:pPr>
              <w:jc w:val="right"/>
            </w:pPr>
            <w:r w:rsidRPr="00D7336C">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B14CA1" w:rsidRPr="00D7336C" w:rsidRDefault="00B14CA1" w:rsidP="009F24A2">
            <w:pPr>
              <w:jc w:val="right"/>
            </w:pPr>
            <w:r w:rsidRPr="00D7336C">
              <w:t>0,3999</w:t>
            </w:r>
          </w:p>
        </w:tc>
      </w:tr>
      <w:tr w:rsidR="00B14CA1" w:rsidRPr="003C65EC" w:rsidTr="009F24A2">
        <w:trPr>
          <w:gridAfter w:val="4"/>
          <w:wAfter w:w="4292" w:type="dxa"/>
          <w:trHeight w:val="330"/>
        </w:trPr>
        <w:tc>
          <w:tcPr>
            <w:tcW w:w="711" w:type="dxa"/>
            <w:tcBorders>
              <w:top w:val="nil"/>
              <w:left w:val="single" w:sz="4" w:space="0" w:color="auto"/>
              <w:bottom w:val="single" w:sz="4" w:space="0" w:color="auto"/>
              <w:right w:val="single" w:sz="4" w:space="0" w:color="auto"/>
            </w:tcBorders>
            <w:shd w:val="clear" w:color="auto" w:fill="auto"/>
            <w:noWrap/>
            <w:hideMark/>
          </w:tcPr>
          <w:p w:rsidR="00B14CA1" w:rsidRPr="00DA1A27" w:rsidRDefault="00B14CA1" w:rsidP="008D765F">
            <w:pPr>
              <w:jc w:val="center"/>
              <w:rPr>
                <w:bCs/>
                <w:sz w:val="16"/>
                <w:szCs w:val="16"/>
              </w:rPr>
            </w:pPr>
            <w:r w:rsidRPr="00DA1A27">
              <w:rPr>
                <w:bCs/>
                <w:sz w:val="16"/>
                <w:szCs w:val="16"/>
              </w:rPr>
              <w:t>3.3</w:t>
            </w:r>
          </w:p>
        </w:tc>
        <w:tc>
          <w:tcPr>
            <w:tcW w:w="7223" w:type="dxa"/>
            <w:gridSpan w:val="7"/>
            <w:tcBorders>
              <w:top w:val="single" w:sz="4" w:space="0" w:color="auto"/>
              <w:left w:val="nil"/>
              <w:bottom w:val="single" w:sz="4" w:space="0" w:color="auto"/>
              <w:right w:val="nil"/>
            </w:tcBorders>
            <w:shd w:val="clear" w:color="auto" w:fill="auto"/>
            <w:noWrap/>
            <w:hideMark/>
          </w:tcPr>
          <w:p w:rsidR="00B14CA1" w:rsidRPr="00DA1A27" w:rsidRDefault="00B14CA1" w:rsidP="008D765F">
            <w:pPr>
              <w:rPr>
                <w:bCs/>
                <w:sz w:val="16"/>
                <w:szCs w:val="16"/>
              </w:rPr>
            </w:pPr>
            <w:r w:rsidRPr="00DA1A27">
              <w:rPr>
                <w:bCs/>
                <w:sz w:val="16"/>
                <w:szCs w:val="16"/>
              </w:rPr>
              <w:t xml:space="preserve">Одноставочный тариф, дифференцированный по трем зонам суток </w:t>
            </w:r>
            <w:r>
              <w:rPr>
                <w:bCs/>
                <w:sz w:val="16"/>
                <w:szCs w:val="16"/>
                <w:vertAlign w:val="superscript"/>
              </w:rPr>
              <w:t>*</w:t>
            </w:r>
          </w:p>
        </w:tc>
        <w:tc>
          <w:tcPr>
            <w:tcW w:w="912" w:type="dxa"/>
            <w:tcBorders>
              <w:top w:val="nil"/>
              <w:left w:val="nil"/>
              <w:bottom w:val="single" w:sz="4" w:space="0" w:color="auto"/>
              <w:right w:val="nil"/>
            </w:tcBorders>
            <w:shd w:val="clear" w:color="auto" w:fill="auto"/>
            <w:noWrap/>
            <w:hideMark/>
          </w:tcPr>
          <w:p w:rsidR="00B14CA1" w:rsidRPr="00DA1A27" w:rsidRDefault="00B14CA1" w:rsidP="008D765F">
            <w:pPr>
              <w:rPr>
                <w:bCs/>
                <w:sz w:val="16"/>
                <w:szCs w:val="16"/>
              </w:rPr>
            </w:pPr>
            <w:r w:rsidRPr="00DA1A27">
              <w:rPr>
                <w:bCs/>
                <w:sz w:val="16"/>
                <w:szCs w:val="16"/>
              </w:rPr>
              <w:t> </w:t>
            </w:r>
          </w:p>
        </w:tc>
        <w:tc>
          <w:tcPr>
            <w:tcW w:w="1004" w:type="dxa"/>
            <w:tcBorders>
              <w:top w:val="nil"/>
              <w:left w:val="nil"/>
              <w:bottom w:val="single" w:sz="4" w:space="0" w:color="auto"/>
              <w:right w:val="nil"/>
            </w:tcBorders>
            <w:shd w:val="clear" w:color="auto" w:fill="auto"/>
            <w:noWrap/>
            <w:hideMark/>
          </w:tcPr>
          <w:p w:rsidR="00B14CA1" w:rsidRPr="00DA1A27" w:rsidRDefault="00B14CA1" w:rsidP="008D765F">
            <w:pPr>
              <w:rPr>
                <w:bCs/>
                <w:sz w:val="16"/>
                <w:szCs w:val="16"/>
              </w:rPr>
            </w:pPr>
            <w:r w:rsidRPr="00DA1A27">
              <w:rPr>
                <w:bCs/>
                <w:sz w:val="16"/>
                <w:szCs w:val="16"/>
              </w:rPr>
              <w:t> </w:t>
            </w:r>
          </w:p>
        </w:tc>
        <w:tc>
          <w:tcPr>
            <w:tcW w:w="912" w:type="dxa"/>
            <w:tcBorders>
              <w:top w:val="nil"/>
              <w:left w:val="nil"/>
              <w:bottom w:val="single" w:sz="4" w:space="0" w:color="auto"/>
              <w:right w:val="nil"/>
            </w:tcBorders>
            <w:shd w:val="clear" w:color="auto" w:fill="auto"/>
            <w:noWrap/>
            <w:vAlign w:val="center"/>
            <w:hideMark/>
          </w:tcPr>
          <w:p w:rsidR="00B14CA1" w:rsidRPr="00D7336C" w:rsidRDefault="00B14CA1" w:rsidP="00D7336C">
            <w:pPr>
              <w:jc w:val="right"/>
              <w:rPr>
                <w:bCs/>
              </w:rPr>
            </w:pPr>
            <w:r w:rsidRPr="00D7336C">
              <w:rPr>
                <w:bCs/>
              </w:rPr>
              <w:t> </w:t>
            </w:r>
          </w:p>
        </w:tc>
        <w:tc>
          <w:tcPr>
            <w:tcW w:w="1297" w:type="dxa"/>
            <w:tcBorders>
              <w:top w:val="nil"/>
              <w:left w:val="nil"/>
              <w:bottom w:val="single" w:sz="4" w:space="0" w:color="auto"/>
              <w:right w:val="nil"/>
            </w:tcBorders>
            <w:shd w:val="clear" w:color="auto" w:fill="auto"/>
            <w:noWrap/>
            <w:vAlign w:val="center"/>
            <w:hideMark/>
          </w:tcPr>
          <w:p w:rsidR="00B14CA1" w:rsidRPr="00D7336C" w:rsidRDefault="00B14CA1" w:rsidP="00D7336C">
            <w:pPr>
              <w:jc w:val="right"/>
              <w:rPr>
                <w:bCs/>
              </w:rPr>
            </w:pPr>
            <w:r w:rsidRPr="00D7336C">
              <w:rPr>
                <w:bCs/>
              </w:rPr>
              <w:t> </w:t>
            </w:r>
          </w:p>
        </w:tc>
        <w:tc>
          <w:tcPr>
            <w:tcW w:w="992" w:type="dxa"/>
            <w:tcBorders>
              <w:top w:val="nil"/>
              <w:left w:val="nil"/>
              <w:bottom w:val="single" w:sz="4" w:space="0" w:color="auto"/>
              <w:right w:val="nil"/>
            </w:tcBorders>
            <w:shd w:val="clear" w:color="auto" w:fill="auto"/>
            <w:noWrap/>
            <w:vAlign w:val="center"/>
            <w:hideMark/>
          </w:tcPr>
          <w:p w:rsidR="00B14CA1" w:rsidRPr="00D7336C" w:rsidRDefault="00B14CA1" w:rsidP="00D7336C">
            <w:pPr>
              <w:jc w:val="right"/>
              <w:rPr>
                <w:bCs/>
              </w:rPr>
            </w:pPr>
            <w:r w:rsidRPr="00D7336C">
              <w:rPr>
                <w:bCs/>
              </w:rPr>
              <w:t> </w:t>
            </w:r>
          </w:p>
        </w:tc>
        <w:tc>
          <w:tcPr>
            <w:tcW w:w="993" w:type="dxa"/>
            <w:tcBorders>
              <w:top w:val="nil"/>
              <w:left w:val="nil"/>
              <w:bottom w:val="single" w:sz="4" w:space="0" w:color="auto"/>
              <w:right w:val="nil"/>
            </w:tcBorders>
            <w:shd w:val="clear" w:color="auto" w:fill="auto"/>
            <w:noWrap/>
            <w:vAlign w:val="center"/>
            <w:hideMark/>
          </w:tcPr>
          <w:p w:rsidR="00B14CA1" w:rsidRPr="00D7336C" w:rsidRDefault="00B14CA1" w:rsidP="00D7336C">
            <w:pPr>
              <w:jc w:val="right"/>
              <w:rPr>
                <w:bCs/>
              </w:rPr>
            </w:pPr>
            <w:r w:rsidRPr="00D7336C">
              <w:rPr>
                <w:bCs/>
              </w:rPr>
              <w:t> </w:t>
            </w:r>
          </w:p>
        </w:tc>
        <w:tc>
          <w:tcPr>
            <w:tcW w:w="1073" w:type="dxa"/>
            <w:tcBorders>
              <w:top w:val="nil"/>
              <w:left w:val="nil"/>
              <w:bottom w:val="single" w:sz="4" w:space="0" w:color="auto"/>
              <w:right w:val="single" w:sz="4" w:space="0" w:color="auto"/>
            </w:tcBorders>
            <w:shd w:val="clear" w:color="auto" w:fill="auto"/>
            <w:noWrap/>
            <w:vAlign w:val="center"/>
            <w:hideMark/>
          </w:tcPr>
          <w:p w:rsidR="00B14CA1" w:rsidRPr="00D7336C" w:rsidRDefault="00B14CA1" w:rsidP="00D7336C">
            <w:pPr>
              <w:jc w:val="right"/>
              <w:rPr>
                <w:bCs/>
              </w:rPr>
            </w:pPr>
            <w:r w:rsidRPr="00D7336C">
              <w:rPr>
                <w:bCs/>
              </w:rPr>
              <w:t> </w:t>
            </w:r>
          </w:p>
        </w:tc>
      </w:tr>
      <w:tr w:rsidR="00B14CA1" w:rsidRPr="003C65EC" w:rsidTr="008E6383">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B14CA1" w:rsidRPr="00DA1A27" w:rsidRDefault="00B14CA1" w:rsidP="008D765F">
            <w:pPr>
              <w:jc w:val="center"/>
              <w:rPr>
                <w:bCs/>
                <w:sz w:val="16"/>
                <w:szCs w:val="16"/>
              </w:rPr>
            </w:pPr>
            <w:r w:rsidRPr="00DA1A27">
              <w:rPr>
                <w:bCs/>
                <w:sz w:val="16"/>
                <w:szCs w:val="16"/>
              </w:rPr>
              <w:t>3.3.1</w:t>
            </w:r>
          </w:p>
        </w:tc>
        <w:tc>
          <w:tcPr>
            <w:tcW w:w="2337" w:type="dxa"/>
            <w:tcBorders>
              <w:top w:val="nil"/>
              <w:left w:val="nil"/>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Пиковая зона</w:t>
            </w:r>
          </w:p>
        </w:tc>
        <w:tc>
          <w:tcPr>
            <w:tcW w:w="1113"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394"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288"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004"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B14CA1" w:rsidRPr="00D7336C" w:rsidRDefault="00B14CA1" w:rsidP="008E6383">
            <w:pPr>
              <w:jc w:val="right"/>
            </w:pPr>
            <w:r>
              <w:t>3,2</w:t>
            </w:r>
            <w:r w:rsidR="008E6383">
              <w:t>5</w:t>
            </w:r>
          </w:p>
        </w:tc>
        <w:tc>
          <w:tcPr>
            <w:tcW w:w="1297" w:type="dxa"/>
            <w:tcBorders>
              <w:top w:val="nil"/>
              <w:left w:val="single" w:sz="4" w:space="0" w:color="auto"/>
              <w:bottom w:val="single" w:sz="4" w:space="0" w:color="auto"/>
              <w:right w:val="nil"/>
            </w:tcBorders>
            <w:shd w:val="clear" w:color="auto" w:fill="auto"/>
            <w:noWrap/>
            <w:hideMark/>
          </w:tcPr>
          <w:p w:rsidR="00B14CA1" w:rsidRPr="00D7336C" w:rsidRDefault="00B14CA1" w:rsidP="008E6383">
            <w:pPr>
              <w:jc w:val="right"/>
            </w:pPr>
            <w:r>
              <w:t>2,2783</w:t>
            </w:r>
          </w:p>
        </w:tc>
        <w:tc>
          <w:tcPr>
            <w:tcW w:w="992"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9F24A2">
            <w:pPr>
              <w:jc w:val="right"/>
            </w:pPr>
            <w:r w:rsidRPr="00D7336C">
              <w:t>0,5645</w:t>
            </w:r>
          </w:p>
        </w:tc>
        <w:tc>
          <w:tcPr>
            <w:tcW w:w="993"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9F24A2">
            <w:pPr>
              <w:jc w:val="right"/>
            </w:pPr>
            <w:r w:rsidRPr="00D7336C">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B14CA1" w:rsidRPr="00D7336C" w:rsidRDefault="00B14CA1" w:rsidP="009F24A2">
            <w:pPr>
              <w:jc w:val="right"/>
            </w:pPr>
            <w:r w:rsidRPr="00D7336C">
              <w:t>0,3999</w:t>
            </w:r>
          </w:p>
        </w:tc>
      </w:tr>
      <w:tr w:rsidR="00B14CA1" w:rsidRPr="003C65EC"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B14CA1" w:rsidRPr="00DA1A27" w:rsidRDefault="00B14CA1" w:rsidP="008D765F">
            <w:pPr>
              <w:jc w:val="center"/>
              <w:rPr>
                <w:bCs/>
                <w:sz w:val="16"/>
                <w:szCs w:val="16"/>
              </w:rPr>
            </w:pPr>
            <w:r w:rsidRPr="00DA1A27">
              <w:rPr>
                <w:bCs/>
                <w:sz w:val="16"/>
                <w:szCs w:val="16"/>
              </w:rPr>
              <w:t>3.3.2</w:t>
            </w:r>
          </w:p>
        </w:tc>
        <w:tc>
          <w:tcPr>
            <w:tcW w:w="2337" w:type="dxa"/>
            <w:tcBorders>
              <w:top w:val="nil"/>
              <w:left w:val="nil"/>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Полупиковая зона</w:t>
            </w:r>
          </w:p>
        </w:tc>
        <w:tc>
          <w:tcPr>
            <w:tcW w:w="1113"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394"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288"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004"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8E6383">
            <w:pPr>
              <w:jc w:val="right"/>
            </w:pPr>
            <w:r w:rsidRPr="00D7336C">
              <w:t>2,61</w:t>
            </w:r>
          </w:p>
        </w:tc>
        <w:tc>
          <w:tcPr>
            <w:tcW w:w="1297"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8E6383">
            <w:pPr>
              <w:jc w:val="right"/>
            </w:pPr>
            <w:r w:rsidRPr="00D7336C">
              <w:t>1,6424</w:t>
            </w:r>
          </w:p>
        </w:tc>
        <w:tc>
          <w:tcPr>
            <w:tcW w:w="992"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D7336C">
            <w:pPr>
              <w:jc w:val="right"/>
            </w:pPr>
            <w:r w:rsidRPr="00D7336C">
              <w:t>0,5645</w:t>
            </w:r>
          </w:p>
        </w:tc>
        <w:tc>
          <w:tcPr>
            <w:tcW w:w="993"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D7336C">
            <w:pPr>
              <w:jc w:val="right"/>
            </w:pPr>
            <w:r w:rsidRPr="00D7336C">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B14CA1" w:rsidRPr="00D7336C" w:rsidRDefault="00B14CA1" w:rsidP="00D7336C">
            <w:pPr>
              <w:jc w:val="right"/>
            </w:pPr>
            <w:r w:rsidRPr="00D7336C">
              <w:t>0,3999</w:t>
            </w:r>
          </w:p>
        </w:tc>
      </w:tr>
      <w:tr w:rsidR="00B14CA1" w:rsidRPr="003C65EC"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B14CA1" w:rsidRPr="00DA1A27" w:rsidRDefault="00B14CA1" w:rsidP="008D765F">
            <w:pPr>
              <w:jc w:val="center"/>
              <w:rPr>
                <w:bCs/>
                <w:sz w:val="16"/>
                <w:szCs w:val="16"/>
              </w:rPr>
            </w:pPr>
            <w:r w:rsidRPr="00DA1A27">
              <w:rPr>
                <w:bCs/>
                <w:sz w:val="16"/>
                <w:szCs w:val="16"/>
              </w:rPr>
              <w:t>3.3.3</w:t>
            </w:r>
          </w:p>
        </w:tc>
        <w:tc>
          <w:tcPr>
            <w:tcW w:w="2337" w:type="dxa"/>
            <w:tcBorders>
              <w:top w:val="nil"/>
              <w:left w:val="nil"/>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Ночная зона</w:t>
            </w:r>
          </w:p>
        </w:tc>
        <w:tc>
          <w:tcPr>
            <w:tcW w:w="1113"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394"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288"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004"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8E6383">
            <w:pPr>
              <w:jc w:val="right"/>
            </w:pPr>
            <w:r>
              <w:t>1,</w:t>
            </w:r>
            <w:r w:rsidR="008E6383">
              <w:t>67</w:t>
            </w:r>
          </w:p>
        </w:tc>
        <w:tc>
          <w:tcPr>
            <w:tcW w:w="1297"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8E6383">
            <w:pPr>
              <w:jc w:val="right"/>
            </w:pPr>
            <w:r>
              <w:t>0,9254</w:t>
            </w:r>
            <w:r w:rsidRPr="00D7336C">
              <w:t> </w:t>
            </w:r>
          </w:p>
        </w:tc>
        <w:tc>
          <w:tcPr>
            <w:tcW w:w="992"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9F24A2">
            <w:pPr>
              <w:jc w:val="right"/>
            </w:pPr>
            <w:r w:rsidRPr="00D7336C">
              <w:t>0,</w:t>
            </w:r>
            <w:r w:rsidR="008E6383">
              <w:t>3445</w:t>
            </w:r>
          </w:p>
        </w:tc>
        <w:tc>
          <w:tcPr>
            <w:tcW w:w="993"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9F24A2">
            <w:pPr>
              <w:jc w:val="right"/>
            </w:pPr>
            <w:r w:rsidRPr="00D7336C">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B14CA1" w:rsidRPr="00D7336C" w:rsidRDefault="00B14CA1" w:rsidP="009F24A2">
            <w:pPr>
              <w:jc w:val="right"/>
            </w:pPr>
            <w:r w:rsidRPr="00D7336C">
              <w:t>0,3999</w:t>
            </w:r>
          </w:p>
        </w:tc>
      </w:tr>
      <w:tr w:rsidR="00B14CA1" w:rsidRPr="003C65EC"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B14CA1" w:rsidRPr="00DA1A27" w:rsidRDefault="00B14CA1" w:rsidP="008D765F">
            <w:pPr>
              <w:jc w:val="center"/>
              <w:rPr>
                <w:bCs/>
                <w:sz w:val="16"/>
                <w:szCs w:val="16"/>
              </w:rPr>
            </w:pPr>
            <w:r>
              <w:rPr>
                <w:bCs/>
                <w:sz w:val="16"/>
                <w:szCs w:val="16"/>
              </w:rPr>
              <w:t>4</w:t>
            </w:r>
          </w:p>
        </w:tc>
        <w:tc>
          <w:tcPr>
            <w:tcW w:w="14406" w:type="dxa"/>
            <w:gridSpan w:val="14"/>
            <w:tcBorders>
              <w:top w:val="nil"/>
              <w:left w:val="nil"/>
              <w:bottom w:val="single" w:sz="4" w:space="0" w:color="auto"/>
              <w:right w:val="single" w:sz="4" w:space="0" w:color="auto"/>
            </w:tcBorders>
            <w:shd w:val="clear" w:color="auto" w:fill="auto"/>
            <w:hideMark/>
          </w:tcPr>
          <w:p w:rsidR="00B14CA1" w:rsidRPr="00DA1A27" w:rsidRDefault="00B14CA1" w:rsidP="008D765F">
            <w:pPr>
              <w:rPr>
                <w:iCs/>
                <w:sz w:val="16"/>
                <w:szCs w:val="16"/>
              </w:rPr>
            </w:pPr>
            <w:r w:rsidRPr="00DA1A27">
              <w:rPr>
                <w:iCs/>
                <w:sz w:val="16"/>
                <w:szCs w:val="16"/>
              </w:rPr>
              <w:t>Потребители, приравненные к населению (тарифы указываются с учетом НДС)</w:t>
            </w:r>
            <w:r>
              <w:rPr>
                <w:iCs/>
                <w:sz w:val="16"/>
                <w:szCs w:val="16"/>
              </w:rPr>
              <w:t>***</w:t>
            </w:r>
          </w:p>
        </w:tc>
      </w:tr>
      <w:tr w:rsidR="00B14CA1" w:rsidRPr="003C65EC"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B14CA1" w:rsidRPr="00DA1A27" w:rsidRDefault="00B14CA1" w:rsidP="008D765F">
            <w:pPr>
              <w:jc w:val="center"/>
              <w:rPr>
                <w:bCs/>
                <w:sz w:val="16"/>
                <w:szCs w:val="16"/>
              </w:rPr>
            </w:pPr>
            <w:r>
              <w:rPr>
                <w:bCs/>
                <w:sz w:val="16"/>
                <w:szCs w:val="16"/>
              </w:rPr>
              <w:t>4</w:t>
            </w:r>
            <w:r w:rsidRPr="00DA1A27">
              <w:rPr>
                <w:bCs/>
                <w:sz w:val="16"/>
                <w:szCs w:val="16"/>
              </w:rPr>
              <w:t>.1</w:t>
            </w:r>
          </w:p>
        </w:tc>
        <w:tc>
          <w:tcPr>
            <w:tcW w:w="2337" w:type="dxa"/>
            <w:tcBorders>
              <w:top w:val="nil"/>
              <w:left w:val="nil"/>
              <w:bottom w:val="single" w:sz="4" w:space="0" w:color="auto"/>
              <w:right w:val="nil"/>
            </w:tcBorders>
            <w:shd w:val="clear" w:color="auto" w:fill="auto"/>
            <w:noWrap/>
            <w:hideMark/>
          </w:tcPr>
          <w:p w:rsidR="00B14CA1" w:rsidRPr="00DA1A27" w:rsidRDefault="00B14CA1" w:rsidP="008D765F">
            <w:pPr>
              <w:rPr>
                <w:bCs/>
                <w:sz w:val="16"/>
                <w:szCs w:val="16"/>
              </w:rPr>
            </w:pPr>
            <w:r w:rsidRPr="00DA1A27">
              <w:rPr>
                <w:bCs/>
                <w:sz w:val="16"/>
                <w:szCs w:val="16"/>
              </w:rPr>
              <w:t>Одноставочный тариф</w:t>
            </w:r>
          </w:p>
        </w:tc>
        <w:tc>
          <w:tcPr>
            <w:tcW w:w="1113"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394"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288"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004"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vAlign w:val="center"/>
            <w:hideMark/>
          </w:tcPr>
          <w:p w:rsidR="00B14CA1" w:rsidRPr="001E2223" w:rsidRDefault="00B14CA1" w:rsidP="008E6383">
            <w:pPr>
              <w:jc w:val="right"/>
            </w:pPr>
            <w:r w:rsidRPr="001E2223">
              <w:t>3,26</w:t>
            </w:r>
          </w:p>
        </w:tc>
        <w:tc>
          <w:tcPr>
            <w:tcW w:w="1297" w:type="dxa"/>
            <w:tcBorders>
              <w:top w:val="nil"/>
              <w:left w:val="single" w:sz="4" w:space="0" w:color="auto"/>
              <w:bottom w:val="single" w:sz="4" w:space="0" w:color="auto"/>
              <w:right w:val="nil"/>
            </w:tcBorders>
            <w:shd w:val="clear" w:color="auto" w:fill="auto"/>
            <w:noWrap/>
            <w:vAlign w:val="center"/>
            <w:hideMark/>
          </w:tcPr>
          <w:p w:rsidR="00B14CA1" w:rsidRPr="001E2223" w:rsidRDefault="00B14CA1" w:rsidP="008E6383">
            <w:pPr>
              <w:jc w:val="right"/>
            </w:pPr>
            <w:r w:rsidRPr="001E2223">
              <w:t>1,6424</w:t>
            </w:r>
          </w:p>
        </w:tc>
        <w:tc>
          <w:tcPr>
            <w:tcW w:w="992" w:type="dxa"/>
            <w:tcBorders>
              <w:top w:val="nil"/>
              <w:left w:val="single" w:sz="4" w:space="0" w:color="auto"/>
              <w:bottom w:val="single" w:sz="4" w:space="0" w:color="auto"/>
              <w:right w:val="nil"/>
            </w:tcBorders>
            <w:shd w:val="clear" w:color="auto" w:fill="auto"/>
            <w:noWrap/>
            <w:vAlign w:val="center"/>
            <w:hideMark/>
          </w:tcPr>
          <w:p w:rsidR="00B14CA1" w:rsidRPr="001E2223" w:rsidRDefault="00B14CA1" w:rsidP="008E6383">
            <w:pPr>
              <w:jc w:val="right"/>
            </w:pPr>
            <w:r w:rsidRPr="001E2223">
              <w:t>1,2145</w:t>
            </w:r>
          </w:p>
        </w:tc>
        <w:tc>
          <w:tcPr>
            <w:tcW w:w="993" w:type="dxa"/>
            <w:tcBorders>
              <w:top w:val="nil"/>
              <w:left w:val="single" w:sz="4" w:space="0" w:color="auto"/>
              <w:bottom w:val="single" w:sz="4" w:space="0" w:color="auto"/>
              <w:right w:val="nil"/>
            </w:tcBorders>
            <w:shd w:val="clear" w:color="auto" w:fill="auto"/>
            <w:noWrap/>
            <w:vAlign w:val="center"/>
            <w:hideMark/>
          </w:tcPr>
          <w:p w:rsidR="00B14CA1" w:rsidRPr="001E2223" w:rsidRDefault="00B14CA1" w:rsidP="008E6383">
            <w:pPr>
              <w:jc w:val="right"/>
            </w:pPr>
            <w:r w:rsidRPr="001E2223">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B14CA1" w:rsidRPr="001E2223" w:rsidRDefault="00B14CA1" w:rsidP="008E6383">
            <w:pPr>
              <w:jc w:val="right"/>
            </w:pPr>
            <w:r w:rsidRPr="001E2223">
              <w:t>0,3999</w:t>
            </w:r>
          </w:p>
        </w:tc>
      </w:tr>
      <w:tr w:rsidR="00B14CA1" w:rsidRPr="003C65EC" w:rsidTr="009732C1">
        <w:trPr>
          <w:gridAfter w:val="1"/>
          <w:wAfter w:w="1073" w:type="dxa"/>
          <w:trHeight w:val="330"/>
        </w:trPr>
        <w:tc>
          <w:tcPr>
            <w:tcW w:w="711" w:type="dxa"/>
            <w:tcBorders>
              <w:top w:val="nil"/>
              <w:left w:val="single" w:sz="4" w:space="0" w:color="auto"/>
              <w:bottom w:val="single" w:sz="4" w:space="0" w:color="auto"/>
              <w:right w:val="single" w:sz="4" w:space="0" w:color="auto"/>
            </w:tcBorders>
            <w:shd w:val="clear" w:color="auto" w:fill="auto"/>
            <w:noWrap/>
            <w:hideMark/>
          </w:tcPr>
          <w:p w:rsidR="00B14CA1" w:rsidRPr="00DA1A27" w:rsidRDefault="00B14CA1" w:rsidP="008D765F">
            <w:pPr>
              <w:jc w:val="center"/>
              <w:rPr>
                <w:bCs/>
                <w:sz w:val="16"/>
                <w:szCs w:val="16"/>
              </w:rPr>
            </w:pPr>
            <w:r>
              <w:rPr>
                <w:bCs/>
                <w:sz w:val="16"/>
                <w:szCs w:val="16"/>
              </w:rPr>
              <w:t>4</w:t>
            </w:r>
            <w:r w:rsidRPr="00DA1A27">
              <w:rPr>
                <w:bCs/>
                <w:sz w:val="16"/>
                <w:szCs w:val="16"/>
              </w:rPr>
              <w:t>.2</w:t>
            </w:r>
          </w:p>
        </w:tc>
        <w:tc>
          <w:tcPr>
            <w:tcW w:w="5935" w:type="dxa"/>
            <w:gridSpan w:val="5"/>
            <w:tcBorders>
              <w:top w:val="single" w:sz="4" w:space="0" w:color="auto"/>
              <w:left w:val="nil"/>
              <w:bottom w:val="single" w:sz="4" w:space="0" w:color="auto"/>
              <w:right w:val="nil"/>
            </w:tcBorders>
            <w:shd w:val="clear" w:color="auto" w:fill="auto"/>
            <w:noWrap/>
            <w:hideMark/>
          </w:tcPr>
          <w:p w:rsidR="00B14CA1" w:rsidRPr="00DA1A27" w:rsidRDefault="00B14CA1" w:rsidP="008D765F">
            <w:pPr>
              <w:rPr>
                <w:bCs/>
                <w:sz w:val="16"/>
                <w:szCs w:val="16"/>
              </w:rPr>
            </w:pPr>
            <w:r w:rsidRPr="00DA1A27">
              <w:rPr>
                <w:bCs/>
                <w:sz w:val="16"/>
                <w:szCs w:val="16"/>
              </w:rPr>
              <w:t xml:space="preserve">Одноставочный тариф, дифференцированный по двум зонам суток </w:t>
            </w:r>
            <w:r>
              <w:rPr>
                <w:bCs/>
                <w:sz w:val="16"/>
                <w:szCs w:val="16"/>
                <w:vertAlign w:val="superscript"/>
              </w:rPr>
              <w:t>*</w:t>
            </w:r>
          </w:p>
        </w:tc>
        <w:tc>
          <w:tcPr>
            <w:tcW w:w="1288" w:type="dxa"/>
            <w:gridSpan w:val="2"/>
            <w:tcBorders>
              <w:top w:val="nil"/>
              <w:left w:val="nil"/>
              <w:bottom w:val="single" w:sz="4" w:space="0" w:color="auto"/>
              <w:right w:val="nil"/>
            </w:tcBorders>
            <w:shd w:val="clear" w:color="auto" w:fill="auto"/>
            <w:noWrap/>
            <w:hideMark/>
          </w:tcPr>
          <w:p w:rsidR="00B14CA1" w:rsidRPr="00DA1A27" w:rsidRDefault="00B14CA1" w:rsidP="008D765F">
            <w:pPr>
              <w:rPr>
                <w:bCs/>
                <w:sz w:val="16"/>
                <w:szCs w:val="16"/>
              </w:rPr>
            </w:pPr>
            <w:r w:rsidRPr="00DA1A27">
              <w:rPr>
                <w:bCs/>
                <w:sz w:val="16"/>
                <w:szCs w:val="16"/>
              </w:rPr>
              <w:t> </w:t>
            </w:r>
          </w:p>
        </w:tc>
        <w:tc>
          <w:tcPr>
            <w:tcW w:w="912" w:type="dxa"/>
            <w:tcBorders>
              <w:top w:val="nil"/>
              <w:left w:val="nil"/>
              <w:bottom w:val="single" w:sz="4" w:space="0" w:color="auto"/>
              <w:right w:val="nil"/>
            </w:tcBorders>
            <w:shd w:val="clear" w:color="auto" w:fill="auto"/>
            <w:noWrap/>
            <w:hideMark/>
          </w:tcPr>
          <w:p w:rsidR="00B14CA1" w:rsidRPr="00DA1A27" w:rsidRDefault="00B14CA1" w:rsidP="008D765F">
            <w:pPr>
              <w:rPr>
                <w:bCs/>
                <w:sz w:val="16"/>
                <w:szCs w:val="16"/>
              </w:rPr>
            </w:pPr>
            <w:r w:rsidRPr="00DA1A27">
              <w:rPr>
                <w:bCs/>
                <w:sz w:val="16"/>
                <w:szCs w:val="16"/>
              </w:rPr>
              <w:t> </w:t>
            </w:r>
          </w:p>
        </w:tc>
        <w:tc>
          <w:tcPr>
            <w:tcW w:w="1004" w:type="dxa"/>
            <w:tcBorders>
              <w:top w:val="nil"/>
              <w:left w:val="nil"/>
              <w:bottom w:val="single" w:sz="4" w:space="0" w:color="auto"/>
              <w:right w:val="nil"/>
            </w:tcBorders>
            <w:shd w:val="clear" w:color="auto" w:fill="auto"/>
            <w:noWrap/>
            <w:hideMark/>
          </w:tcPr>
          <w:p w:rsidR="00B14CA1" w:rsidRPr="00DA1A27" w:rsidRDefault="00B14CA1" w:rsidP="008D765F">
            <w:pPr>
              <w:rPr>
                <w:bCs/>
                <w:sz w:val="16"/>
                <w:szCs w:val="16"/>
              </w:rPr>
            </w:pPr>
            <w:r w:rsidRPr="00DA1A27">
              <w:rPr>
                <w:bCs/>
                <w:sz w:val="16"/>
                <w:szCs w:val="16"/>
              </w:rPr>
              <w:t> </w:t>
            </w:r>
          </w:p>
        </w:tc>
        <w:tc>
          <w:tcPr>
            <w:tcW w:w="912" w:type="dxa"/>
            <w:tcBorders>
              <w:top w:val="nil"/>
              <w:left w:val="nil"/>
              <w:bottom w:val="single" w:sz="4" w:space="0" w:color="auto"/>
              <w:right w:val="nil"/>
            </w:tcBorders>
            <w:shd w:val="clear" w:color="auto" w:fill="auto"/>
            <w:noWrap/>
            <w:vAlign w:val="center"/>
            <w:hideMark/>
          </w:tcPr>
          <w:p w:rsidR="00B14CA1" w:rsidRPr="00D7336C" w:rsidRDefault="00B14CA1" w:rsidP="00D7336C">
            <w:pPr>
              <w:jc w:val="right"/>
              <w:rPr>
                <w:bCs/>
              </w:rPr>
            </w:pPr>
            <w:r w:rsidRPr="00D7336C">
              <w:rPr>
                <w:bCs/>
              </w:rPr>
              <w:t> </w:t>
            </w:r>
          </w:p>
        </w:tc>
        <w:tc>
          <w:tcPr>
            <w:tcW w:w="1297" w:type="dxa"/>
            <w:tcBorders>
              <w:top w:val="nil"/>
              <w:left w:val="nil"/>
              <w:bottom w:val="single" w:sz="4" w:space="0" w:color="auto"/>
              <w:right w:val="nil"/>
            </w:tcBorders>
            <w:shd w:val="clear" w:color="auto" w:fill="auto"/>
            <w:noWrap/>
            <w:vAlign w:val="center"/>
            <w:hideMark/>
          </w:tcPr>
          <w:p w:rsidR="00B14CA1" w:rsidRPr="00D7336C" w:rsidRDefault="00B14CA1" w:rsidP="00D7336C">
            <w:pPr>
              <w:jc w:val="right"/>
              <w:rPr>
                <w:bCs/>
              </w:rPr>
            </w:pPr>
            <w:r w:rsidRPr="00D7336C">
              <w:rPr>
                <w:bCs/>
              </w:rPr>
              <w:t> </w:t>
            </w:r>
          </w:p>
        </w:tc>
        <w:tc>
          <w:tcPr>
            <w:tcW w:w="992" w:type="dxa"/>
            <w:tcBorders>
              <w:top w:val="nil"/>
              <w:left w:val="nil"/>
              <w:bottom w:val="single" w:sz="4" w:space="0" w:color="auto"/>
              <w:right w:val="nil"/>
            </w:tcBorders>
            <w:shd w:val="clear" w:color="auto" w:fill="auto"/>
            <w:noWrap/>
            <w:vAlign w:val="center"/>
            <w:hideMark/>
          </w:tcPr>
          <w:p w:rsidR="00B14CA1" w:rsidRPr="00D7336C" w:rsidRDefault="00B14CA1" w:rsidP="00D7336C">
            <w:pPr>
              <w:jc w:val="right"/>
              <w:rPr>
                <w:bCs/>
              </w:rPr>
            </w:pPr>
            <w:r w:rsidRPr="00D7336C">
              <w:rPr>
                <w:bCs/>
              </w:rPr>
              <w:t> </w:t>
            </w:r>
          </w:p>
        </w:tc>
        <w:tc>
          <w:tcPr>
            <w:tcW w:w="993" w:type="dxa"/>
            <w:tcBorders>
              <w:top w:val="nil"/>
              <w:left w:val="nil"/>
              <w:bottom w:val="single" w:sz="4" w:space="0" w:color="auto"/>
              <w:right w:val="nil"/>
            </w:tcBorders>
            <w:shd w:val="clear" w:color="auto" w:fill="auto"/>
            <w:noWrap/>
            <w:vAlign w:val="center"/>
            <w:hideMark/>
          </w:tcPr>
          <w:p w:rsidR="00B14CA1" w:rsidRPr="001E2223" w:rsidRDefault="00B14CA1" w:rsidP="008E6383">
            <w:pPr>
              <w:jc w:val="right"/>
              <w:rPr>
                <w:bCs/>
              </w:rPr>
            </w:pPr>
          </w:p>
        </w:tc>
        <w:tc>
          <w:tcPr>
            <w:tcW w:w="1073" w:type="dxa"/>
            <w:tcBorders>
              <w:top w:val="nil"/>
              <w:left w:val="nil"/>
              <w:bottom w:val="single" w:sz="4" w:space="0" w:color="auto"/>
              <w:right w:val="single" w:sz="4" w:space="0" w:color="auto"/>
            </w:tcBorders>
            <w:shd w:val="clear" w:color="auto" w:fill="auto"/>
            <w:noWrap/>
            <w:vAlign w:val="center"/>
            <w:hideMark/>
          </w:tcPr>
          <w:p w:rsidR="00B14CA1" w:rsidRPr="001E2223" w:rsidRDefault="00B14CA1" w:rsidP="008E6383">
            <w:pPr>
              <w:jc w:val="right"/>
              <w:rPr>
                <w:bCs/>
              </w:rPr>
            </w:pPr>
          </w:p>
        </w:tc>
        <w:tc>
          <w:tcPr>
            <w:tcW w:w="1073" w:type="dxa"/>
            <w:vAlign w:val="center"/>
          </w:tcPr>
          <w:p w:rsidR="00B14CA1" w:rsidRPr="001E2223" w:rsidRDefault="00B14CA1" w:rsidP="008E6383">
            <w:pPr>
              <w:jc w:val="right"/>
              <w:rPr>
                <w:bCs/>
              </w:rPr>
            </w:pPr>
          </w:p>
        </w:tc>
        <w:tc>
          <w:tcPr>
            <w:tcW w:w="1073" w:type="dxa"/>
            <w:vAlign w:val="center"/>
          </w:tcPr>
          <w:p w:rsidR="00B14CA1" w:rsidRPr="001E2223" w:rsidRDefault="00B14CA1" w:rsidP="008E6383">
            <w:pPr>
              <w:jc w:val="right"/>
              <w:rPr>
                <w:bCs/>
              </w:rPr>
            </w:pPr>
          </w:p>
        </w:tc>
        <w:tc>
          <w:tcPr>
            <w:tcW w:w="1073" w:type="dxa"/>
            <w:tcBorders>
              <w:right w:val="single" w:sz="4" w:space="0" w:color="auto"/>
            </w:tcBorders>
            <w:vAlign w:val="center"/>
          </w:tcPr>
          <w:p w:rsidR="00B14CA1" w:rsidRPr="001E2223" w:rsidRDefault="00B14CA1" w:rsidP="008E6383">
            <w:pPr>
              <w:jc w:val="right"/>
              <w:rPr>
                <w:bCs/>
              </w:rPr>
            </w:pPr>
          </w:p>
        </w:tc>
      </w:tr>
      <w:tr w:rsidR="00B14CA1" w:rsidRPr="003C65EC"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B14CA1" w:rsidRPr="00DA1A27" w:rsidRDefault="00B14CA1" w:rsidP="008D765F">
            <w:pPr>
              <w:jc w:val="center"/>
              <w:rPr>
                <w:bCs/>
                <w:sz w:val="16"/>
                <w:szCs w:val="16"/>
              </w:rPr>
            </w:pPr>
            <w:r>
              <w:rPr>
                <w:bCs/>
                <w:sz w:val="16"/>
                <w:szCs w:val="16"/>
              </w:rPr>
              <w:t>4</w:t>
            </w:r>
            <w:r w:rsidRPr="00DA1A27">
              <w:rPr>
                <w:bCs/>
                <w:sz w:val="16"/>
                <w:szCs w:val="16"/>
              </w:rPr>
              <w:t>.2.1</w:t>
            </w:r>
          </w:p>
        </w:tc>
        <w:tc>
          <w:tcPr>
            <w:tcW w:w="2337" w:type="dxa"/>
            <w:tcBorders>
              <w:top w:val="nil"/>
              <w:left w:val="nil"/>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Дневная зона (пиковая и полупиковая)</w:t>
            </w:r>
          </w:p>
        </w:tc>
        <w:tc>
          <w:tcPr>
            <w:tcW w:w="1113"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394"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288"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004"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vAlign w:val="center"/>
            <w:hideMark/>
          </w:tcPr>
          <w:p w:rsidR="00B14CA1" w:rsidRPr="001E2223" w:rsidRDefault="00B14CA1" w:rsidP="008E6383">
            <w:pPr>
              <w:jc w:val="right"/>
            </w:pPr>
            <w:r>
              <w:t>3,5</w:t>
            </w:r>
            <w:r w:rsidR="008E6383">
              <w:t>3</w:t>
            </w:r>
          </w:p>
        </w:tc>
        <w:tc>
          <w:tcPr>
            <w:tcW w:w="1297" w:type="dxa"/>
            <w:tcBorders>
              <w:top w:val="nil"/>
              <w:left w:val="single" w:sz="4" w:space="0" w:color="auto"/>
              <w:bottom w:val="single" w:sz="4" w:space="0" w:color="auto"/>
              <w:right w:val="nil"/>
            </w:tcBorders>
            <w:shd w:val="clear" w:color="auto" w:fill="auto"/>
            <w:noWrap/>
            <w:vAlign w:val="center"/>
            <w:hideMark/>
          </w:tcPr>
          <w:p w:rsidR="00B14CA1" w:rsidRPr="001E2223" w:rsidRDefault="00B14CA1" w:rsidP="008E6383">
            <w:pPr>
              <w:jc w:val="right"/>
            </w:pPr>
            <w:r>
              <w:t>1,9083</w:t>
            </w:r>
          </w:p>
        </w:tc>
        <w:tc>
          <w:tcPr>
            <w:tcW w:w="992" w:type="dxa"/>
            <w:tcBorders>
              <w:top w:val="nil"/>
              <w:left w:val="single" w:sz="4" w:space="0" w:color="auto"/>
              <w:bottom w:val="single" w:sz="4" w:space="0" w:color="auto"/>
              <w:right w:val="nil"/>
            </w:tcBorders>
            <w:shd w:val="clear" w:color="auto" w:fill="auto"/>
            <w:noWrap/>
            <w:vAlign w:val="center"/>
            <w:hideMark/>
          </w:tcPr>
          <w:p w:rsidR="00B14CA1" w:rsidRPr="001E2223" w:rsidRDefault="00B14CA1" w:rsidP="008E6383">
            <w:pPr>
              <w:jc w:val="right"/>
            </w:pPr>
            <w:r>
              <w:t>1,2145</w:t>
            </w:r>
          </w:p>
        </w:tc>
        <w:tc>
          <w:tcPr>
            <w:tcW w:w="993" w:type="dxa"/>
            <w:tcBorders>
              <w:top w:val="nil"/>
              <w:left w:val="single" w:sz="4" w:space="0" w:color="auto"/>
              <w:bottom w:val="single" w:sz="4" w:space="0" w:color="auto"/>
              <w:right w:val="nil"/>
            </w:tcBorders>
            <w:shd w:val="clear" w:color="auto" w:fill="auto"/>
            <w:noWrap/>
            <w:vAlign w:val="center"/>
            <w:hideMark/>
          </w:tcPr>
          <w:p w:rsidR="00B14CA1" w:rsidRPr="001E2223" w:rsidRDefault="00B14CA1" w:rsidP="008E6383">
            <w:pPr>
              <w:jc w:val="right"/>
            </w:pPr>
            <w:r>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B14CA1" w:rsidRPr="001E2223" w:rsidRDefault="00B14CA1" w:rsidP="008E6383">
            <w:pPr>
              <w:jc w:val="right"/>
            </w:pPr>
            <w:r>
              <w:t>0,3999</w:t>
            </w:r>
          </w:p>
        </w:tc>
      </w:tr>
      <w:tr w:rsidR="00B14CA1" w:rsidRPr="003C65EC"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B14CA1" w:rsidRPr="00DA1A27" w:rsidRDefault="00B14CA1" w:rsidP="008D765F">
            <w:pPr>
              <w:jc w:val="center"/>
              <w:rPr>
                <w:bCs/>
                <w:sz w:val="16"/>
                <w:szCs w:val="16"/>
              </w:rPr>
            </w:pPr>
            <w:r>
              <w:rPr>
                <w:bCs/>
                <w:sz w:val="16"/>
                <w:szCs w:val="16"/>
              </w:rPr>
              <w:t>4</w:t>
            </w:r>
            <w:r w:rsidRPr="00DA1A27">
              <w:rPr>
                <w:bCs/>
                <w:sz w:val="16"/>
                <w:szCs w:val="16"/>
              </w:rPr>
              <w:t>.2.2</w:t>
            </w:r>
          </w:p>
        </w:tc>
        <w:tc>
          <w:tcPr>
            <w:tcW w:w="2337" w:type="dxa"/>
            <w:tcBorders>
              <w:top w:val="nil"/>
              <w:left w:val="nil"/>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Ночная зона</w:t>
            </w:r>
          </w:p>
        </w:tc>
        <w:tc>
          <w:tcPr>
            <w:tcW w:w="1113"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394"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288"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004"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vAlign w:val="center"/>
            <w:hideMark/>
          </w:tcPr>
          <w:p w:rsidR="00B14CA1" w:rsidRPr="001E2223" w:rsidRDefault="00B14CA1" w:rsidP="008E6383">
            <w:pPr>
              <w:jc w:val="right"/>
            </w:pPr>
            <w:r>
              <w:t>2,</w:t>
            </w:r>
            <w:r w:rsidR="008E6383">
              <w:t>32</w:t>
            </w:r>
          </w:p>
        </w:tc>
        <w:tc>
          <w:tcPr>
            <w:tcW w:w="1297" w:type="dxa"/>
            <w:tcBorders>
              <w:top w:val="nil"/>
              <w:left w:val="single" w:sz="4" w:space="0" w:color="auto"/>
              <w:bottom w:val="single" w:sz="4" w:space="0" w:color="auto"/>
              <w:right w:val="nil"/>
            </w:tcBorders>
            <w:shd w:val="clear" w:color="auto" w:fill="auto"/>
            <w:noWrap/>
            <w:vAlign w:val="center"/>
            <w:hideMark/>
          </w:tcPr>
          <w:p w:rsidR="00B14CA1" w:rsidRPr="001E2223" w:rsidRDefault="00B14CA1" w:rsidP="008E6383">
            <w:pPr>
              <w:jc w:val="right"/>
            </w:pPr>
            <w:r>
              <w:t>0,9254</w:t>
            </w:r>
          </w:p>
        </w:tc>
        <w:tc>
          <w:tcPr>
            <w:tcW w:w="992" w:type="dxa"/>
            <w:tcBorders>
              <w:top w:val="nil"/>
              <w:left w:val="single" w:sz="4" w:space="0" w:color="auto"/>
              <w:bottom w:val="single" w:sz="4" w:space="0" w:color="auto"/>
              <w:right w:val="nil"/>
            </w:tcBorders>
            <w:shd w:val="clear" w:color="auto" w:fill="auto"/>
            <w:noWrap/>
            <w:vAlign w:val="center"/>
            <w:hideMark/>
          </w:tcPr>
          <w:p w:rsidR="00B14CA1" w:rsidRPr="001E2223" w:rsidRDefault="008E6383" w:rsidP="008E6383">
            <w:pPr>
              <w:jc w:val="right"/>
            </w:pPr>
            <w:r>
              <w:t>0,9945</w:t>
            </w:r>
          </w:p>
        </w:tc>
        <w:tc>
          <w:tcPr>
            <w:tcW w:w="993" w:type="dxa"/>
            <w:tcBorders>
              <w:top w:val="nil"/>
              <w:left w:val="single" w:sz="4" w:space="0" w:color="auto"/>
              <w:bottom w:val="single" w:sz="4" w:space="0" w:color="auto"/>
              <w:right w:val="nil"/>
            </w:tcBorders>
            <w:shd w:val="clear" w:color="auto" w:fill="auto"/>
            <w:noWrap/>
            <w:vAlign w:val="center"/>
            <w:hideMark/>
          </w:tcPr>
          <w:p w:rsidR="00B14CA1" w:rsidRPr="001E2223" w:rsidRDefault="00B14CA1" w:rsidP="008E6383">
            <w:pPr>
              <w:jc w:val="right"/>
            </w:pPr>
            <w:r>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B14CA1" w:rsidRPr="001E2223" w:rsidRDefault="00B14CA1" w:rsidP="008E6383">
            <w:pPr>
              <w:jc w:val="right"/>
            </w:pPr>
            <w:r>
              <w:t>0,3999</w:t>
            </w:r>
          </w:p>
        </w:tc>
      </w:tr>
      <w:tr w:rsidR="00B14CA1" w:rsidRPr="003C65EC" w:rsidTr="009732C1">
        <w:trPr>
          <w:trHeight w:val="330"/>
        </w:trPr>
        <w:tc>
          <w:tcPr>
            <w:tcW w:w="711" w:type="dxa"/>
            <w:tcBorders>
              <w:top w:val="nil"/>
              <w:left w:val="single" w:sz="4" w:space="0" w:color="auto"/>
              <w:bottom w:val="single" w:sz="4" w:space="0" w:color="auto"/>
              <w:right w:val="single" w:sz="4" w:space="0" w:color="auto"/>
            </w:tcBorders>
            <w:shd w:val="clear" w:color="auto" w:fill="auto"/>
            <w:noWrap/>
            <w:hideMark/>
          </w:tcPr>
          <w:p w:rsidR="00B14CA1" w:rsidRPr="00DA1A27" w:rsidRDefault="00B14CA1" w:rsidP="008D765F">
            <w:pPr>
              <w:jc w:val="center"/>
              <w:rPr>
                <w:bCs/>
                <w:sz w:val="16"/>
                <w:szCs w:val="16"/>
              </w:rPr>
            </w:pPr>
            <w:r>
              <w:rPr>
                <w:bCs/>
                <w:sz w:val="16"/>
                <w:szCs w:val="16"/>
              </w:rPr>
              <w:t>4</w:t>
            </w:r>
            <w:r w:rsidRPr="00DA1A27">
              <w:rPr>
                <w:bCs/>
                <w:sz w:val="16"/>
                <w:szCs w:val="16"/>
              </w:rPr>
              <w:t>.3</w:t>
            </w:r>
          </w:p>
        </w:tc>
        <w:tc>
          <w:tcPr>
            <w:tcW w:w="7223" w:type="dxa"/>
            <w:gridSpan w:val="7"/>
            <w:tcBorders>
              <w:top w:val="single" w:sz="4" w:space="0" w:color="auto"/>
              <w:left w:val="nil"/>
              <w:bottom w:val="single" w:sz="4" w:space="0" w:color="auto"/>
              <w:right w:val="nil"/>
            </w:tcBorders>
            <w:shd w:val="clear" w:color="auto" w:fill="auto"/>
            <w:noWrap/>
            <w:hideMark/>
          </w:tcPr>
          <w:p w:rsidR="00B14CA1" w:rsidRPr="00DA1A27" w:rsidRDefault="00B14CA1" w:rsidP="008D765F">
            <w:pPr>
              <w:rPr>
                <w:bCs/>
                <w:sz w:val="16"/>
                <w:szCs w:val="16"/>
              </w:rPr>
            </w:pPr>
            <w:r w:rsidRPr="00DA1A27">
              <w:rPr>
                <w:bCs/>
                <w:sz w:val="16"/>
                <w:szCs w:val="16"/>
              </w:rPr>
              <w:t xml:space="preserve">Одноставочный тариф, дифференцированный по трем зонам суток </w:t>
            </w:r>
            <w:r>
              <w:rPr>
                <w:bCs/>
                <w:sz w:val="16"/>
                <w:szCs w:val="16"/>
                <w:vertAlign w:val="superscript"/>
              </w:rPr>
              <w:t>*</w:t>
            </w:r>
          </w:p>
        </w:tc>
        <w:tc>
          <w:tcPr>
            <w:tcW w:w="912" w:type="dxa"/>
            <w:tcBorders>
              <w:top w:val="nil"/>
              <w:left w:val="nil"/>
              <w:bottom w:val="single" w:sz="4" w:space="0" w:color="auto"/>
              <w:right w:val="nil"/>
            </w:tcBorders>
            <w:shd w:val="clear" w:color="auto" w:fill="auto"/>
            <w:noWrap/>
            <w:hideMark/>
          </w:tcPr>
          <w:p w:rsidR="00B14CA1" w:rsidRPr="00DA1A27" w:rsidRDefault="00B14CA1" w:rsidP="008D765F">
            <w:pPr>
              <w:rPr>
                <w:bCs/>
                <w:sz w:val="16"/>
                <w:szCs w:val="16"/>
              </w:rPr>
            </w:pPr>
            <w:r w:rsidRPr="00DA1A27">
              <w:rPr>
                <w:bCs/>
                <w:sz w:val="16"/>
                <w:szCs w:val="16"/>
              </w:rPr>
              <w:t> </w:t>
            </w:r>
          </w:p>
        </w:tc>
        <w:tc>
          <w:tcPr>
            <w:tcW w:w="1004" w:type="dxa"/>
            <w:tcBorders>
              <w:top w:val="nil"/>
              <w:left w:val="nil"/>
              <w:bottom w:val="single" w:sz="4" w:space="0" w:color="auto"/>
              <w:right w:val="nil"/>
            </w:tcBorders>
            <w:shd w:val="clear" w:color="auto" w:fill="auto"/>
            <w:noWrap/>
            <w:hideMark/>
          </w:tcPr>
          <w:p w:rsidR="00B14CA1" w:rsidRPr="00DA1A27" w:rsidRDefault="00B14CA1" w:rsidP="008D765F">
            <w:pPr>
              <w:rPr>
                <w:bCs/>
                <w:sz w:val="16"/>
                <w:szCs w:val="16"/>
              </w:rPr>
            </w:pPr>
            <w:r w:rsidRPr="00DA1A27">
              <w:rPr>
                <w:bCs/>
                <w:sz w:val="16"/>
                <w:szCs w:val="16"/>
              </w:rPr>
              <w:t> </w:t>
            </w:r>
          </w:p>
        </w:tc>
        <w:tc>
          <w:tcPr>
            <w:tcW w:w="912" w:type="dxa"/>
            <w:tcBorders>
              <w:top w:val="nil"/>
              <w:left w:val="nil"/>
              <w:bottom w:val="single" w:sz="4" w:space="0" w:color="auto"/>
              <w:right w:val="nil"/>
            </w:tcBorders>
            <w:shd w:val="clear" w:color="auto" w:fill="auto"/>
            <w:noWrap/>
            <w:vAlign w:val="center"/>
            <w:hideMark/>
          </w:tcPr>
          <w:p w:rsidR="00B14CA1" w:rsidRPr="00D7336C" w:rsidRDefault="00B14CA1" w:rsidP="00D7336C">
            <w:pPr>
              <w:jc w:val="right"/>
              <w:rPr>
                <w:bCs/>
              </w:rPr>
            </w:pPr>
            <w:r w:rsidRPr="00D7336C">
              <w:rPr>
                <w:bCs/>
              </w:rPr>
              <w:t> </w:t>
            </w:r>
          </w:p>
        </w:tc>
        <w:tc>
          <w:tcPr>
            <w:tcW w:w="1297" w:type="dxa"/>
            <w:tcBorders>
              <w:top w:val="nil"/>
              <w:left w:val="nil"/>
              <w:bottom w:val="single" w:sz="4" w:space="0" w:color="auto"/>
              <w:right w:val="nil"/>
            </w:tcBorders>
            <w:shd w:val="clear" w:color="auto" w:fill="auto"/>
            <w:noWrap/>
            <w:vAlign w:val="center"/>
            <w:hideMark/>
          </w:tcPr>
          <w:p w:rsidR="00B14CA1" w:rsidRPr="00D7336C" w:rsidRDefault="00B14CA1" w:rsidP="00D7336C">
            <w:pPr>
              <w:jc w:val="right"/>
              <w:rPr>
                <w:bCs/>
              </w:rPr>
            </w:pPr>
            <w:r w:rsidRPr="00D7336C">
              <w:rPr>
                <w:bCs/>
              </w:rPr>
              <w:t> </w:t>
            </w:r>
          </w:p>
        </w:tc>
        <w:tc>
          <w:tcPr>
            <w:tcW w:w="992" w:type="dxa"/>
            <w:tcBorders>
              <w:top w:val="nil"/>
              <w:left w:val="nil"/>
              <w:bottom w:val="single" w:sz="4" w:space="0" w:color="auto"/>
              <w:right w:val="nil"/>
            </w:tcBorders>
            <w:shd w:val="clear" w:color="auto" w:fill="auto"/>
            <w:noWrap/>
            <w:vAlign w:val="center"/>
            <w:hideMark/>
          </w:tcPr>
          <w:p w:rsidR="00B14CA1" w:rsidRPr="00D7336C" w:rsidRDefault="00B14CA1" w:rsidP="00D7336C">
            <w:pPr>
              <w:jc w:val="right"/>
              <w:rPr>
                <w:bCs/>
              </w:rPr>
            </w:pPr>
            <w:r w:rsidRPr="00D7336C">
              <w:rPr>
                <w:bCs/>
              </w:rPr>
              <w:t> </w:t>
            </w:r>
          </w:p>
        </w:tc>
        <w:tc>
          <w:tcPr>
            <w:tcW w:w="993" w:type="dxa"/>
            <w:tcBorders>
              <w:top w:val="nil"/>
              <w:left w:val="nil"/>
              <w:bottom w:val="single" w:sz="4" w:space="0" w:color="auto"/>
              <w:right w:val="nil"/>
            </w:tcBorders>
            <w:shd w:val="clear" w:color="auto" w:fill="auto"/>
            <w:noWrap/>
            <w:vAlign w:val="center"/>
            <w:hideMark/>
          </w:tcPr>
          <w:p w:rsidR="00B14CA1" w:rsidRPr="00D7336C" w:rsidRDefault="00B14CA1" w:rsidP="00D7336C">
            <w:pPr>
              <w:jc w:val="right"/>
              <w:rPr>
                <w:bCs/>
              </w:rPr>
            </w:pPr>
            <w:r w:rsidRPr="00D7336C">
              <w:rPr>
                <w:bCs/>
              </w:rPr>
              <w:t> </w:t>
            </w:r>
          </w:p>
        </w:tc>
        <w:tc>
          <w:tcPr>
            <w:tcW w:w="1073" w:type="dxa"/>
            <w:tcBorders>
              <w:top w:val="nil"/>
              <w:left w:val="nil"/>
              <w:bottom w:val="single" w:sz="4" w:space="0" w:color="auto"/>
              <w:right w:val="single" w:sz="4" w:space="0" w:color="auto"/>
            </w:tcBorders>
            <w:shd w:val="clear" w:color="auto" w:fill="auto"/>
            <w:noWrap/>
            <w:vAlign w:val="center"/>
            <w:hideMark/>
          </w:tcPr>
          <w:p w:rsidR="00B14CA1" w:rsidRPr="001E2223" w:rsidRDefault="00B14CA1" w:rsidP="008E6383">
            <w:pPr>
              <w:jc w:val="right"/>
              <w:rPr>
                <w:bCs/>
              </w:rPr>
            </w:pPr>
          </w:p>
        </w:tc>
        <w:tc>
          <w:tcPr>
            <w:tcW w:w="1073" w:type="dxa"/>
            <w:vAlign w:val="center"/>
          </w:tcPr>
          <w:p w:rsidR="00B14CA1" w:rsidRPr="001E2223" w:rsidRDefault="00B14CA1" w:rsidP="008E6383">
            <w:pPr>
              <w:jc w:val="right"/>
              <w:rPr>
                <w:bCs/>
              </w:rPr>
            </w:pPr>
          </w:p>
        </w:tc>
        <w:tc>
          <w:tcPr>
            <w:tcW w:w="1073" w:type="dxa"/>
            <w:vAlign w:val="center"/>
          </w:tcPr>
          <w:p w:rsidR="00B14CA1" w:rsidRPr="001E2223" w:rsidRDefault="00B14CA1" w:rsidP="008E6383">
            <w:pPr>
              <w:jc w:val="right"/>
              <w:rPr>
                <w:bCs/>
              </w:rPr>
            </w:pPr>
          </w:p>
        </w:tc>
        <w:tc>
          <w:tcPr>
            <w:tcW w:w="1073" w:type="dxa"/>
            <w:vAlign w:val="center"/>
          </w:tcPr>
          <w:p w:rsidR="00B14CA1" w:rsidRPr="001E2223" w:rsidRDefault="00B14CA1" w:rsidP="008E6383">
            <w:pPr>
              <w:jc w:val="right"/>
              <w:rPr>
                <w:bCs/>
              </w:rPr>
            </w:pPr>
          </w:p>
        </w:tc>
        <w:tc>
          <w:tcPr>
            <w:tcW w:w="1073" w:type="dxa"/>
            <w:tcBorders>
              <w:right w:val="single" w:sz="4" w:space="0" w:color="auto"/>
            </w:tcBorders>
            <w:vAlign w:val="center"/>
          </w:tcPr>
          <w:p w:rsidR="00B14CA1" w:rsidRPr="001E2223" w:rsidRDefault="00B14CA1" w:rsidP="008E6383">
            <w:pPr>
              <w:jc w:val="right"/>
              <w:rPr>
                <w:bCs/>
              </w:rPr>
            </w:pPr>
          </w:p>
        </w:tc>
      </w:tr>
      <w:tr w:rsidR="00B14CA1" w:rsidRPr="003C65EC" w:rsidTr="008E6383">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B14CA1" w:rsidRPr="00DA1A27" w:rsidRDefault="00B14CA1" w:rsidP="008D765F">
            <w:pPr>
              <w:jc w:val="center"/>
              <w:rPr>
                <w:bCs/>
                <w:sz w:val="16"/>
                <w:szCs w:val="16"/>
              </w:rPr>
            </w:pPr>
            <w:r>
              <w:rPr>
                <w:bCs/>
                <w:sz w:val="16"/>
                <w:szCs w:val="16"/>
              </w:rPr>
              <w:t>4</w:t>
            </w:r>
            <w:r w:rsidRPr="00DA1A27">
              <w:rPr>
                <w:bCs/>
                <w:sz w:val="16"/>
                <w:szCs w:val="16"/>
              </w:rPr>
              <w:t>.3.1</w:t>
            </w:r>
          </w:p>
        </w:tc>
        <w:tc>
          <w:tcPr>
            <w:tcW w:w="2337" w:type="dxa"/>
            <w:tcBorders>
              <w:top w:val="nil"/>
              <w:left w:val="nil"/>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Пиковая зона</w:t>
            </w:r>
          </w:p>
        </w:tc>
        <w:tc>
          <w:tcPr>
            <w:tcW w:w="1113"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394"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288"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004"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vAlign w:val="center"/>
            <w:hideMark/>
          </w:tcPr>
          <w:p w:rsidR="00B14CA1" w:rsidRPr="001E2223" w:rsidRDefault="00B14CA1" w:rsidP="008E6383">
            <w:pPr>
              <w:jc w:val="right"/>
            </w:pPr>
            <w:r>
              <w:t>3,</w:t>
            </w:r>
            <w:r w:rsidR="008E6383">
              <w:t>90</w:t>
            </w:r>
          </w:p>
        </w:tc>
        <w:tc>
          <w:tcPr>
            <w:tcW w:w="1297" w:type="dxa"/>
            <w:tcBorders>
              <w:top w:val="nil"/>
              <w:left w:val="single" w:sz="4" w:space="0" w:color="auto"/>
              <w:bottom w:val="single" w:sz="4" w:space="0" w:color="auto"/>
              <w:right w:val="nil"/>
            </w:tcBorders>
            <w:shd w:val="clear" w:color="auto" w:fill="auto"/>
            <w:noWrap/>
            <w:vAlign w:val="center"/>
            <w:hideMark/>
          </w:tcPr>
          <w:p w:rsidR="00B14CA1" w:rsidRPr="001E2223" w:rsidRDefault="00B14CA1" w:rsidP="008E6383">
            <w:pPr>
              <w:jc w:val="right"/>
            </w:pPr>
            <w:r>
              <w:t>2,2783</w:t>
            </w:r>
          </w:p>
        </w:tc>
        <w:tc>
          <w:tcPr>
            <w:tcW w:w="992" w:type="dxa"/>
            <w:tcBorders>
              <w:top w:val="nil"/>
              <w:left w:val="single" w:sz="4" w:space="0" w:color="auto"/>
              <w:bottom w:val="single" w:sz="4" w:space="0" w:color="auto"/>
              <w:right w:val="nil"/>
            </w:tcBorders>
            <w:shd w:val="clear" w:color="auto" w:fill="auto"/>
            <w:noWrap/>
            <w:vAlign w:val="center"/>
            <w:hideMark/>
          </w:tcPr>
          <w:p w:rsidR="00B14CA1" w:rsidRPr="001E2223" w:rsidRDefault="00B14CA1" w:rsidP="008E6383">
            <w:pPr>
              <w:jc w:val="right"/>
            </w:pPr>
            <w:r>
              <w:t>1,2145</w:t>
            </w:r>
          </w:p>
        </w:tc>
        <w:tc>
          <w:tcPr>
            <w:tcW w:w="993" w:type="dxa"/>
            <w:tcBorders>
              <w:top w:val="nil"/>
              <w:left w:val="single" w:sz="4" w:space="0" w:color="auto"/>
              <w:bottom w:val="single" w:sz="4" w:space="0" w:color="auto"/>
              <w:right w:val="nil"/>
            </w:tcBorders>
            <w:shd w:val="clear" w:color="auto" w:fill="auto"/>
            <w:noWrap/>
            <w:vAlign w:val="center"/>
            <w:hideMark/>
          </w:tcPr>
          <w:p w:rsidR="00B14CA1" w:rsidRPr="001E2223" w:rsidRDefault="00B14CA1" w:rsidP="008E6383">
            <w:pPr>
              <w:jc w:val="right"/>
            </w:pPr>
            <w:r>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B14CA1" w:rsidRPr="001E2223" w:rsidRDefault="00B14CA1" w:rsidP="008E6383">
            <w:pPr>
              <w:jc w:val="right"/>
            </w:pPr>
            <w:r>
              <w:t>0,3999</w:t>
            </w:r>
          </w:p>
        </w:tc>
      </w:tr>
      <w:tr w:rsidR="00B14CA1" w:rsidRPr="003C65EC"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B14CA1" w:rsidRPr="00DA1A27" w:rsidRDefault="00B14CA1" w:rsidP="008D765F">
            <w:pPr>
              <w:jc w:val="center"/>
              <w:rPr>
                <w:bCs/>
                <w:sz w:val="16"/>
                <w:szCs w:val="16"/>
              </w:rPr>
            </w:pPr>
            <w:r>
              <w:rPr>
                <w:bCs/>
                <w:sz w:val="16"/>
                <w:szCs w:val="16"/>
              </w:rPr>
              <w:t>4</w:t>
            </w:r>
            <w:r w:rsidRPr="00DA1A27">
              <w:rPr>
                <w:bCs/>
                <w:sz w:val="16"/>
                <w:szCs w:val="16"/>
              </w:rPr>
              <w:t>.3.2</w:t>
            </w:r>
          </w:p>
        </w:tc>
        <w:tc>
          <w:tcPr>
            <w:tcW w:w="2337" w:type="dxa"/>
            <w:tcBorders>
              <w:top w:val="nil"/>
              <w:left w:val="nil"/>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Полупиковая зона</w:t>
            </w:r>
          </w:p>
        </w:tc>
        <w:tc>
          <w:tcPr>
            <w:tcW w:w="1113"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394"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288"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004"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vAlign w:val="center"/>
            <w:hideMark/>
          </w:tcPr>
          <w:p w:rsidR="00B14CA1" w:rsidRPr="001E2223" w:rsidRDefault="00B14CA1" w:rsidP="008E6383">
            <w:pPr>
              <w:jc w:val="right"/>
            </w:pPr>
            <w:r w:rsidRPr="001E2223">
              <w:t>3,26</w:t>
            </w:r>
          </w:p>
        </w:tc>
        <w:tc>
          <w:tcPr>
            <w:tcW w:w="1297" w:type="dxa"/>
            <w:tcBorders>
              <w:top w:val="nil"/>
              <w:left w:val="single" w:sz="4" w:space="0" w:color="auto"/>
              <w:bottom w:val="single" w:sz="4" w:space="0" w:color="auto"/>
              <w:right w:val="nil"/>
            </w:tcBorders>
            <w:shd w:val="clear" w:color="auto" w:fill="auto"/>
            <w:noWrap/>
            <w:vAlign w:val="center"/>
            <w:hideMark/>
          </w:tcPr>
          <w:p w:rsidR="00B14CA1" w:rsidRPr="001E2223" w:rsidRDefault="00B14CA1" w:rsidP="008E6383">
            <w:pPr>
              <w:jc w:val="right"/>
            </w:pPr>
            <w:r w:rsidRPr="001E2223">
              <w:t>1,6424</w:t>
            </w:r>
          </w:p>
        </w:tc>
        <w:tc>
          <w:tcPr>
            <w:tcW w:w="992" w:type="dxa"/>
            <w:tcBorders>
              <w:top w:val="nil"/>
              <w:left w:val="single" w:sz="4" w:space="0" w:color="auto"/>
              <w:bottom w:val="single" w:sz="4" w:space="0" w:color="auto"/>
              <w:right w:val="nil"/>
            </w:tcBorders>
            <w:shd w:val="clear" w:color="auto" w:fill="auto"/>
            <w:noWrap/>
            <w:vAlign w:val="center"/>
            <w:hideMark/>
          </w:tcPr>
          <w:p w:rsidR="00B14CA1" w:rsidRPr="001E2223" w:rsidRDefault="00B14CA1" w:rsidP="008E6383">
            <w:pPr>
              <w:jc w:val="right"/>
            </w:pPr>
            <w:r w:rsidRPr="001E2223">
              <w:t>1,2145</w:t>
            </w:r>
          </w:p>
        </w:tc>
        <w:tc>
          <w:tcPr>
            <w:tcW w:w="993" w:type="dxa"/>
            <w:tcBorders>
              <w:top w:val="nil"/>
              <w:left w:val="single" w:sz="4" w:space="0" w:color="auto"/>
              <w:bottom w:val="single" w:sz="4" w:space="0" w:color="auto"/>
              <w:right w:val="nil"/>
            </w:tcBorders>
            <w:shd w:val="clear" w:color="auto" w:fill="auto"/>
            <w:noWrap/>
            <w:vAlign w:val="center"/>
            <w:hideMark/>
          </w:tcPr>
          <w:p w:rsidR="00B14CA1" w:rsidRPr="001E2223" w:rsidRDefault="00B14CA1" w:rsidP="008E6383">
            <w:pPr>
              <w:jc w:val="right"/>
            </w:pPr>
            <w:r w:rsidRPr="001E2223">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B14CA1" w:rsidRPr="001E2223" w:rsidRDefault="00B14CA1" w:rsidP="008E6383">
            <w:pPr>
              <w:jc w:val="right"/>
            </w:pPr>
            <w:r w:rsidRPr="001E2223">
              <w:t>0,3999</w:t>
            </w:r>
          </w:p>
        </w:tc>
      </w:tr>
      <w:tr w:rsidR="00B14CA1" w:rsidRPr="003C65EC" w:rsidTr="008E6383">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B14CA1" w:rsidRPr="00DA1A27" w:rsidRDefault="00B14CA1" w:rsidP="008D765F">
            <w:pPr>
              <w:jc w:val="center"/>
              <w:rPr>
                <w:bCs/>
                <w:sz w:val="16"/>
                <w:szCs w:val="16"/>
              </w:rPr>
            </w:pPr>
            <w:r>
              <w:rPr>
                <w:bCs/>
                <w:sz w:val="16"/>
                <w:szCs w:val="16"/>
              </w:rPr>
              <w:t>4</w:t>
            </w:r>
            <w:r w:rsidRPr="00DA1A27">
              <w:rPr>
                <w:bCs/>
                <w:sz w:val="16"/>
                <w:szCs w:val="16"/>
              </w:rPr>
              <w:t>.3.3</w:t>
            </w:r>
          </w:p>
        </w:tc>
        <w:tc>
          <w:tcPr>
            <w:tcW w:w="2337" w:type="dxa"/>
            <w:tcBorders>
              <w:top w:val="nil"/>
              <w:left w:val="nil"/>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Ночная зона</w:t>
            </w:r>
          </w:p>
        </w:tc>
        <w:tc>
          <w:tcPr>
            <w:tcW w:w="1113"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394"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288"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004"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vAlign w:val="center"/>
            <w:hideMark/>
          </w:tcPr>
          <w:p w:rsidR="00B14CA1" w:rsidRPr="001E2223" w:rsidRDefault="00B14CA1" w:rsidP="008E6383">
            <w:pPr>
              <w:jc w:val="right"/>
            </w:pPr>
            <w:r>
              <w:t>2,</w:t>
            </w:r>
            <w:r w:rsidR="008E6383">
              <w:t>32</w:t>
            </w:r>
          </w:p>
        </w:tc>
        <w:tc>
          <w:tcPr>
            <w:tcW w:w="1297" w:type="dxa"/>
            <w:tcBorders>
              <w:top w:val="nil"/>
              <w:left w:val="single" w:sz="4" w:space="0" w:color="auto"/>
              <w:bottom w:val="single" w:sz="4" w:space="0" w:color="auto"/>
              <w:right w:val="nil"/>
            </w:tcBorders>
            <w:shd w:val="clear" w:color="auto" w:fill="auto"/>
            <w:noWrap/>
            <w:vAlign w:val="center"/>
            <w:hideMark/>
          </w:tcPr>
          <w:p w:rsidR="00B14CA1" w:rsidRPr="001E2223" w:rsidRDefault="00B14CA1" w:rsidP="008E6383">
            <w:pPr>
              <w:jc w:val="right"/>
            </w:pPr>
            <w:r>
              <w:t>0,9254</w:t>
            </w:r>
          </w:p>
        </w:tc>
        <w:tc>
          <w:tcPr>
            <w:tcW w:w="992" w:type="dxa"/>
            <w:tcBorders>
              <w:top w:val="nil"/>
              <w:left w:val="single" w:sz="4" w:space="0" w:color="auto"/>
              <w:bottom w:val="single" w:sz="4" w:space="0" w:color="auto"/>
              <w:right w:val="nil"/>
            </w:tcBorders>
            <w:shd w:val="clear" w:color="auto" w:fill="auto"/>
            <w:noWrap/>
            <w:vAlign w:val="center"/>
            <w:hideMark/>
          </w:tcPr>
          <w:p w:rsidR="00B14CA1" w:rsidRPr="001E2223" w:rsidRDefault="008E6383" w:rsidP="008E6383">
            <w:pPr>
              <w:jc w:val="right"/>
            </w:pPr>
            <w:r>
              <w:t>0,9945</w:t>
            </w:r>
          </w:p>
        </w:tc>
        <w:tc>
          <w:tcPr>
            <w:tcW w:w="993" w:type="dxa"/>
            <w:tcBorders>
              <w:top w:val="nil"/>
              <w:left w:val="single" w:sz="4" w:space="0" w:color="auto"/>
              <w:bottom w:val="single" w:sz="4" w:space="0" w:color="auto"/>
              <w:right w:val="nil"/>
            </w:tcBorders>
            <w:shd w:val="clear" w:color="auto" w:fill="auto"/>
            <w:noWrap/>
            <w:vAlign w:val="center"/>
            <w:hideMark/>
          </w:tcPr>
          <w:p w:rsidR="00B14CA1" w:rsidRPr="001E2223" w:rsidRDefault="00B14CA1" w:rsidP="008E6383">
            <w:pPr>
              <w:jc w:val="right"/>
            </w:pPr>
            <w:r>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B14CA1" w:rsidRPr="001E2223" w:rsidRDefault="00B14CA1" w:rsidP="008E6383">
            <w:pPr>
              <w:jc w:val="right"/>
            </w:pPr>
            <w:r>
              <w:t>0,3999</w:t>
            </w:r>
          </w:p>
        </w:tc>
      </w:tr>
    </w:tbl>
    <w:p w:rsidR="008D765F" w:rsidRDefault="008D765F">
      <w:pPr>
        <w:spacing w:line="276" w:lineRule="auto"/>
        <w:rPr>
          <w:rFonts w:eastAsia="Calibri"/>
          <w:lang w:eastAsia="en-US"/>
        </w:rPr>
      </w:pPr>
    </w:p>
    <w:p w:rsidR="008D765F" w:rsidRDefault="008D765F" w:rsidP="009812FD">
      <w:pPr>
        <w:pStyle w:val="ConsPlusNormal"/>
        <w:ind w:firstLine="540"/>
        <w:jc w:val="both"/>
        <w:rPr>
          <w:rFonts w:ascii="Times New Roman" w:hAnsi="Times New Roman" w:cs="Times New Roman"/>
        </w:rPr>
        <w:sectPr w:rsidR="008D765F" w:rsidSect="008D765F">
          <w:pgSz w:w="16838" w:h="11906" w:orient="landscape" w:code="9"/>
          <w:pgMar w:top="1304" w:right="567" w:bottom="992" w:left="851" w:header="720" w:footer="720" w:gutter="0"/>
          <w:cols w:space="720"/>
          <w:titlePg/>
        </w:sectPr>
      </w:pPr>
    </w:p>
    <w:p w:rsidR="008D765F" w:rsidRDefault="008D765F" w:rsidP="009812FD">
      <w:pPr>
        <w:pStyle w:val="ConsPlusNormal"/>
        <w:ind w:firstLine="540"/>
        <w:jc w:val="both"/>
        <w:rPr>
          <w:rFonts w:ascii="Times New Roman" w:hAnsi="Times New Roman" w:cs="Times New Roman"/>
        </w:rPr>
      </w:pPr>
    </w:p>
    <w:p w:rsidR="009812FD" w:rsidRPr="006C4608" w:rsidRDefault="009812FD" w:rsidP="009812FD">
      <w:pPr>
        <w:pStyle w:val="ConsPlusNormal"/>
        <w:ind w:firstLine="540"/>
        <w:jc w:val="both"/>
        <w:rPr>
          <w:rFonts w:ascii="Times New Roman" w:hAnsi="Times New Roman" w:cs="Times New Roman"/>
        </w:rPr>
      </w:pPr>
      <w:r w:rsidRPr="006C4608">
        <w:rPr>
          <w:rFonts w:ascii="Times New Roman" w:hAnsi="Times New Roman" w:cs="Times New Roman"/>
        </w:rPr>
        <w:t>Примечание.</w:t>
      </w:r>
    </w:p>
    <w:p w:rsidR="009812FD" w:rsidRPr="006C4608" w:rsidRDefault="009812FD" w:rsidP="009812FD">
      <w:pPr>
        <w:pStyle w:val="ConsPlusNormal"/>
        <w:ind w:firstLine="540"/>
        <w:jc w:val="both"/>
        <w:rPr>
          <w:rFonts w:ascii="Times New Roman" w:hAnsi="Times New Roman" w:cs="Times New Roman"/>
        </w:rPr>
      </w:pPr>
      <w:r w:rsidRPr="006C4608">
        <w:rPr>
          <w:rFonts w:ascii="Times New Roman" w:hAnsi="Times New Roman" w:cs="Times New Roman"/>
        </w:rPr>
        <w:t>* Интервалы тарифных зон суток (по месяцам календарного года) утверждаются Федеральной службой по тарифам.</w:t>
      </w:r>
    </w:p>
    <w:p w:rsidR="00035EA7" w:rsidRPr="00035EA7" w:rsidRDefault="006C4608" w:rsidP="00035EA7">
      <w:pPr>
        <w:pStyle w:val="a3"/>
        <w:tabs>
          <w:tab w:val="clear" w:pos="4536"/>
          <w:tab w:val="clear" w:pos="9072"/>
          <w:tab w:val="left" w:pos="7371"/>
        </w:tabs>
        <w:jc w:val="both"/>
        <w:rPr>
          <w:sz w:val="20"/>
        </w:rPr>
      </w:pPr>
      <w:r w:rsidRPr="006C4608">
        <w:t xml:space="preserve">** </w:t>
      </w:r>
      <w:r w:rsidRPr="00035EA7">
        <w:rPr>
          <w:sz w:val="20"/>
        </w:rPr>
        <w:t>Применяется</w:t>
      </w:r>
      <w:r w:rsidR="009812FD" w:rsidRPr="00035EA7">
        <w:rPr>
          <w:sz w:val="20"/>
        </w:rPr>
        <w:t xml:space="preserve"> </w:t>
      </w:r>
      <w:r w:rsidR="00035EA7">
        <w:rPr>
          <w:sz w:val="20"/>
        </w:rPr>
        <w:t xml:space="preserve">понижающий </w:t>
      </w:r>
      <w:r w:rsidR="009812FD" w:rsidRPr="00035EA7">
        <w:rPr>
          <w:sz w:val="20"/>
        </w:rPr>
        <w:t xml:space="preserve">коэффициент </w:t>
      </w:r>
      <w:r w:rsidR="00035EA7" w:rsidRPr="00035EA7">
        <w:rPr>
          <w:sz w:val="20"/>
        </w:rPr>
        <w:t>0,8</w:t>
      </w:r>
      <w:r w:rsidR="00035EA7">
        <w:rPr>
          <w:sz w:val="20"/>
        </w:rPr>
        <w:t>,</w:t>
      </w:r>
      <w:r w:rsidR="00035EA7" w:rsidRPr="00035EA7">
        <w:rPr>
          <w:sz w:val="20"/>
        </w:rPr>
        <w:t xml:space="preserve"> согласно постановлению</w:t>
      </w:r>
      <w:r w:rsidRPr="00035EA7">
        <w:rPr>
          <w:sz w:val="20"/>
        </w:rPr>
        <w:t xml:space="preserve"> Государственного комитета «Единый тарифный орган Челябинской области</w:t>
      </w:r>
      <w:r w:rsidR="009812FD" w:rsidRPr="00035EA7">
        <w:rPr>
          <w:sz w:val="20"/>
        </w:rPr>
        <w:t xml:space="preserve"> </w:t>
      </w:r>
      <w:r w:rsidR="00035EA7" w:rsidRPr="00035EA7">
        <w:rPr>
          <w:sz w:val="20"/>
        </w:rPr>
        <w:t>от 18.12.2013 г. № 57/1 «Об установлении понижающих коэффициентов к тарифам на электрическую энергию для населения</w:t>
      </w:r>
      <w:r w:rsidR="00035EA7">
        <w:rPr>
          <w:sz w:val="20"/>
        </w:rPr>
        <w:t>».</w:t>
      </w:r>
    </w:p>
    <w:p w:rsidR="009812FD" w:rsidRPr="006C4608" w:rsidRDefault="009812FD" w:rsidP="009812FD">
      <w:pPr>
        <w:pStyle w:val="ConsPlusNormal"/>
        <w:ind w:firstLine="540"/>
        <w:jc w:val="both"/>
        <w:rPr>
          <w:rFonts w:ascii="Times New Roman" w:hAnsi="Times New Roman" w:cs="Times New Roman"/>
        </w:rPr>
      </w:pPr>
      <w:r w:rsidRPr="006C4608">
        <w:rPr>
          <w:rFonts w:ascii="Times New Roman" w:hAnsi="Times New Roman" w:cs="Times New Roman"/>
        </w:rPr>
        <w:t xml:space="preserve">*** </w:t>
      </w:r>
      <w:r w:rsidR="006C4608" w:rsidRPr="006C4608">
        <w:rPr>
          <w:rFonts w:ascii="Times New Roman" w:hAnsi="Times New Roman" w:cs="Times New Roman"/>
        </w:rPr>
        <w:t xml:space="preserve">1. </w:t>
      </w:r>
      <w:r w:rsidRPr="006C4608">
        <w:rPr>
          <w:rFonts w:ascii="Times New Roman" w:hAnsi="Times New Roman" w:cs="Times New Roman"/>
        </w:rPr>
        <w:t>К потребителям, приравненным к населению, относятся:</w:t>
      </w:r>
    </w:p>
    <w:p w:rsidR="009812FD" w:rsidRPr="006C4608" w:rsidRDefault="006C4608" w:rsidP="009812FD">
      <w:pPr>
        <w:pStyle w:val="ConsPlusNormal"/>
        <w:ind w:firstLine="540"/>
        <w:jc w:val="both"/>
        <w:rPr>
          <w:rFonts w:ascii="Times New Roman" w:hAnsi="Times New Roman" w:cs="Times New Roman"/>
        </w:rPr>
      </w:pPr>
      <w:r w:rsidRPr="006C4608">
        <w:rPr>
          <w:rFonts w:ascii="Times New Roman" w:hAnsi="Times New Roman" w:cs="Times New Roman"/>
        </w:rPr>
        <w:t>а)</w:t>
      </w:r>
      <w:r w:rsidR="009812FD" w:rsidRPr="006C4608">
        <w:rPr>
          <w:rFonts w:ascii="Times New Roman" w:hAnsi="Times New Roman" w:cs="Times New Roman"/>
        </w:rPr>
        <w:t xml:space="preserve">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населения и объемах электроэнергии, израсходованной на места общего пользования в целях потребления на коммунально-бытовые нужды граждан и не используемого для осуществления коммерческой (профессиональной) деятельности;</w:t>
      </w:r>
    </w:p>
    <w:p w:rsidR="009812FD" w:rsidRPr="006C4608" w:rsidRDefault="006C4608" w:rsidP="009812FD">
      <w:pPr>
        <w:pStyle w:val="ConsPlusNormal"/>
        <w:ind w:firstLine="540"/>
        <w:jc w:val="both"/>
        <w:rPr>
          <w:rFonts w:ascii="Times New Roman" w:hAnsi="Times New Roman" w:cs="Times New Roman"/>
        </w:rPr>
      </w:pPr>
      <w:r w:rsidRPr="006C4608">
        <w:rPr>
          <w:rFonts w:ascii="Times New Roman" w:hAnsi="Times New Roman" w:cs="Times New Roman"/>
        </w:rPr>
        <w:t>б)</w:t>
      </w:r>
      <w:r w:rsidR="009812FD" w:rsidRPr="006C4608">
        <w:rPr>
          <w:rFonts w:ascii="Times New Roman" w:hAnsi="Times New Roman" w:cs="Times New Roman"/>
        </w:rPr>
        <w:t xml:space="preserve">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их членам в решении общих социально-хозяйственных задач ведения садоводства, огородничества и дачного хозяйства;</w:t>
      </w:r>
    </w:p>
    <w:p w:rsidR="009812FD" w:rsidRPr="006C4608" w:rsidRDefault="006C4608" w:rsidP="009812FD">
      <w:pPr>
        <w:pStyle w:val="ConsPlusNormal"/>
        <w:ind w:firstLine="540"/>
        <w:jc w:val="both"/>
        <w:rPr>
          <w:rFonts w:ascii="Times New Roman" w:hAnsi="Times New Roman" w:cs="Times New Roman"/>
        </w:rPr>
      </w:pPr>
      <w:r w:rsidRPr="006C4608">
        <w:rPr>
          <w:rFonts w:ascii="Times New Roman" w:hAnsi="Times New Roman" w:cs="Times New Roman"/>
        </w:rPr>
        <w:t>в)</w:t>
      </w:r>
      <w:r w:rsidR="009812FD" w:rsidRPr="006C4608">
        <w:rPr>
          <w:rFonts w:ascii="Times New Roman" w:hAnsi="Times New Roman" w:cs="Times New Roman"/>
        </w:rPr>
        <w:t xml:space="preserve"> юридические лица в части приобретаемого объема электрической энергии (мощности) в целях потребления осужденными в помещениях для их содержания, при условии наличия раздельного учета для указанных помещений;</w:t>
      </w:r>
    </w:p>
    <w:p w:rsidR="009812FD" w:rsidRPr="006C4608" w:rsidRDefault="006C4608" w:rsidP="009812FD">
      <w:pPr>
        <w:pStyle w:val="ConsPlusNormal"/>
        <w:ind w:firstLine="540"/>
        <w:jc w:val="both"/>
        <w:rPr>
          <w:rFonts w:ascii="Times New Roman" w:hAnsi="Times New Roman" w:cs="Times New Roman"/>
        </w:rPr>
      </w:pPr>
      <w:r w:rsidRPr="006C4608">
        <w:rPr>
          <w:rFonts w:ascii="Times New Roman" w:hAnsi="Times New Roman" w:cs="Times New Roman"/>
        </w:rPr>
        <w:t>г)</w:t>
      </w:r>
      <w:r w:rsidR="009812FD" w:rsidRPr="006C4608">
        <w:rPr>
          <w:rFonts w:ascii="Times New Roman" w:hAnsi="Times New Roman" w:cs="Times New Roman"/>
        </w:rPr>
        <w:t xml:space="preserve"> юридические и физические лица в части приобретаемого объема электрической энергии (мощности) в целях потребления на коммунально-бытовые нужды в населенных пунктах, жилых зонах при воинских частях, рассчитывающихся по договору энергоснабжения (купли-продажи) по общему счетчику;</w:t>
      </w:r>
    </w:p>
    <w:p w:rsidR="009812FD" w:rsidRPr="006C4608" w:rsidRDefault="006C4608" w:rsidP="009812FD">
      <w:pPr>
        <w:pStyle w:val="ConsPlusNormal"/>
        <w:ind w:firstLine="540"/>
        <w:jc w:val="both"/>
        <w:rPr>
          <w:rFonts w:ascii="Times New Roman" w:hAnsi="Times New Roman" w:cs="Times New Roman"/>
        </w:rPr>
      </w:pPr>
      <w:r w:rsidRPr="006C4608">
        <w:rPr>
          <w:rFonts w:ascii="Times New Roman" w:hAnsi="Times New Roman" w:cs="Times New Roman"/>
        </w:rPr>
        <w:t>д)</w:t>
      </w:r>
      <w:r w:rsidR="009812FD" w:rsidRPr="006C4608">
        <w:rPr>
          <w:rFonts w:ascii="Times New Roman" w:hAnsi="Times New Roman" w:cs="Times New Roman"/>
        </w:rPr>
        <w:t xml:space="preserve"> содержащиеся за счет прихожан религиозные организации;</w:t>
      </w:r>
    </w:p>
    <w:p w:rsidR="009812FD" w:rsidRPr="006C4608" w:rsidRDefault="006C4608" w:rsidP="009812FD">
      <w:pPr>
        <w:pStyle w:val="ConsPlusNormal"/>
        <w:ind w:firstLine="540"/>
        <w:jc w:val="both"/>
        <w:rPr>
          <w:rFonts w:ascii="Times New Roman" w:hAnsi="Times New Roman" w:cs="Times New Roman"/>
        </w:rPr>
      </w:pPr>
      <w:r w:rsidRPr="006C4608">
        <w:rPr>
          <w:rFonts w:ascii="Times New Roman" w:hAnsi="Times New Roman" w:cs="Times New Roman"/>
        </w:rPr>
        <w:t>е)</w:t>
      </w:r>
      <w:r w:rsidR="009812FD" w:rsidRPr="006C4608">
        <w:rPr>
          <w:rFonts w:ascii="Times New Roman" w:hAnsi="Times New Roman" w:cs="Times New Roman"/>
        </w:rPr>
        <w:t xml:space="preserve">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используемого для осуществления коммерческой (профессиональной) деятельности;</w:t>
      </w:r>
    </w:p>
    <w:p w:rsidR="009812FD" w:rsidRPr="006C4608" w:rsidRDefault="006C4608" w:rsidP="009812FD">
      <w:pPr>
        <w:pStyle w:val="ConsPlusNormal"/>
        <w:ind w:firstLine="540"/>
        <w:jc w:val="both"/>
        <w:rPr>
          <w:rFonts w:ascii="Times New Roman" w:hAnsi="Times New Roman" w:cs="Times New Roman"/>
        </w:rPr>
      </w:pPr>
      <w:r w:rsidRPr="006C4608">
        <w:rPr>
          <w:rFonts w:ascii="Times New Roman" w:hAnsi="Times New Roman" w:cs="Times New Roman"/>
        </w:rPr>
        <w:t>ж)</w:t>
      </w:r>
      <w:r w:rsidR="009812FD" w:rsidRPr="006C4608">
        <w:rPr>
          <w:rFonts w:ascii="Times New Roman" w:hAnsi="Times New Roman" w:cs="Times New Roman"/>
        </w:rPr>
        <w:t xml:space="preserve"> хозяйственные постройки физических лиц (погреба, сараи и иные сооружения аналогичного назначения);</w:t>
      </w:r>
    </w:p>
    <w:p w:rsidR="009812FD" w:rsidRPr="006C4608" w:rsidRDefault="006C4608" w:rsidP="009812FD">
      <w:pPr>
        <w:pStyle w:val="ConsPlusNormal"/>
        <w:ind w:firstLine="540"/>
        <w:jc w:val="both"/>
        <w:rPr>
          <w:rFonts w:ascii="Times New Roman" w:hAnsi="Times New Roman" w:cs="Times New Roman"/>
        </w:rPr>
      </w:pPr>
      <w:r w:rsidRPr="006C4608">
        <w:rPr>
          <w:rFonts w:ascii="Times New Roman" w:hAnsi="Times New Roman" w:cs="Times New Roman"/>
        </w:rPr>
        <w:t>з)</w:t>
      </w:r>
      <w:r w:rsidR="009812FD" w:rsidRPr="006C4608">
        <w:rPr>
          <w:rFonts w:ascii="Times New Roman" w:hAnsi="Times New Roman" w:cs="Times New Roman"/>
        </w:rPr>
        <w:t xml:space="preserve"> некоммерческие объединения граждан (гаражно-строительные, гаражные кооперативы) и отдельно стоящие гаражи, принадлежащие гражданам, в части приобретаемого объема электрической энергии в целях потребления на коммунально-бытовые нужды граждан и не используемого для осуществления коммерческой деятельности.</w:t>
      </w:r>
    </w:p>
    <w:p w:rsidR="006C4608" w:rsidRPr="006C4608" w:rsidRDefault="006C4608" w:rsidP="006C4608">
      <w:pPr>
        <w:tabs>
          <w:tab w:val="left" w:pos="360"/>
          <w:tab w:val="left" w:pos="540"/>
        </w:tabs>
        <w:ind w:firstLine="567"/>
        <w:jc w:val="both"/>
        <w:rPr>
          <w:color w:val="000000"/>
        </w:rPr>
      </w:pPr>
      <w:r w:rsidRPr="006C4608">
        <w:rPr>
          <w:color w:val="000000"/>
        </w:rPr>
        <w:t>2. а) для потребителей, указанных в пунктах 1-а, 1-е примечаний, оплата электрической энергии производится по тарифам группы "Население";</w:t>
      </w:r>
    </w:p>
    <w:p w:rsidR="006C4608" w:rsidRPr="006C4608" w:rsidRDefault="006C4608" w:rsidP="006C4608">
      <w:pPr>
        <w:tabs>
          <w:tab w:val="left" w:pos="360"/>
          <w:tab w:val="left" w:pos="540"/>
        </w:tabs>
        <w:ind w:firstLine="567"/>
        <w:jc w:val="both"/>
        <w:rPr>
          <w:color w:val="000000"/>
        </w:rPr>
      </w:pPr>
      <w:r w:rsidRPr="006C4608">
        <w:rPr>
          <w:color w:val="000000"/>
        </w:rPr>
        <w:t>б) для потребителей, указанных в п.1-б, 1-в, 1-г, 1-д, 1-ж, 1-з примечаний, оплата электрической энергии производится по тарифам группы «Потребители, приравненные к населению».</w:t>
      </w:r>
    </w:p>
    <w:p w:rsidR="006C4608" w:rsidRPr="006C4608" w:rsidRDefault="006C4608" w:rsidP="006C4608">
      <w:pPr>
        <w:ind w:firstLine="567"/>
        <w:jc w:val="both"/>
        <w:rPr>
          <w:color w:val="000000"/>
        </w:rPr>
      </w:pPr>
      <w:r>
        <w:rPr>
          <w:color w:val="000000"/>
        </w:rPr>
        <w:t>3</w:t>
      </w:r>
      <w:r w:rsidRPr="006C4608">
        <w:rPr>
          <w:color w:val="000000"/>
        </w:rPr>
        <w:t>. Если гражданин одновременно имеет право на льготные тарифы и скидки по нескольким основаниям, льгота предоставляется по выбору гражданина по одному из них.</w:t>
      </w:r>
    </w:p>
    <w:p w:rsidR="006C4608" w:rsidRPr="006C4608" w:rsidRDefault="006C4608" w:rsidP="006C4608">
      <w:pPr>
        <w:tabs>
          <w:tab w:val="left" w:pos="180"/>
          <w:tab w:val="left" w:pos="360"/>
          <w:tab w:val="left" w:pos="567"/>
        </w:tabs>
        <w:ind w:firstLine="567"/>
        <w:jc w:val="both"/>
        <w:rPr>
          <w:color w:val="000000"/>
        </w:rPr>
      </w:pPr>
      <w:r>
        <w:t>4</w:t>
      </w:r>
      <w:r w:rsidRPr="006C4608">
        <w:t xml:space="preserve">. </w:t>
      </w:r>
      <w:r w:rsidRPr="006C4608">
        <w:rPr>
          <w:color w:val="000000"/>
        </w:rPr>
        <w:t xml:space="preserve">Нормативы потребления электроэнергии применяются в соответствии с законодательством Российской Федерации, устанавливающим право на льготу по оплате электроэнергии. Льготы, предусмотренные действующим законодательством, предоставляются гражданам по тарифам </w:t>
      </w:r>
      <w:r w:rsidRPr="006C4608">
        <w:rPr>
          <w:color w:val="000000"/>
        </w:rPr>
        <w:br/>
        <w:t>для соответствующих групп потребителей.</w:t>
      </w:r>
    </w:p>
    <w:p w:rsidR="006C4608" w:rsidRPr="006C4608" w:rsidRDefault="006C4608" w:rsidP="006C4608">
      <w:pPr>
        <w:ind w:firstLine="567"/>
        <w:jc w:val="both"/>
        <w:rPr>
          <w:color w:val="000000"/>
        </w:rPr>
      </w:pPr>
      <w:r>
        <w:rPr>
          <w:color w:val="000000"/>
        </w:rPr>
        <w:t>5</w:t>
      </w:r>
      <w:r w:rsidRPr="006C4608">
        <w:rPr>
          <w:color w:val="000000"/>
        </w:rPr>
        <w:t>. В отопительный период при наличии стационарного электроотопления для льготных категорий граждан нормативом (для целей предоставления льготы либо расчёта размера компенсации) считать долю льготника, рассчитанную из фактического потребления электроэнергии и количества лиц, зарегистрированных по данному адресу.</w:t>
      </w:r>
    </w:p>
    <w:p w:rsidR="006C4608" w:rsidRPr="006C4608" w:rsidRDefault="006C4608" w:rsidP="006C4608">
      <w:pPr>
        <w:ind w:firstLine="567"/>
        <w:jc w:val="both"/>
        <w:rPr>
          <w:color w:val="000000"/>
        </w:rPr>
      </w:pPr>
      <w:r w:rsidRPr="006C4608">
        <w:rPr>
          <w:color w:val="000000"/>
        </w:rPr>
        <w:t>При желании потребителя получать компенсацию на оплату электроэнергии только за бытовое потребление с исключением электроотопления при наличии одного прибора учёта (в случае замены электрообогрева на обогрев твёрдым топливом) рекомендуется установить отдельный прибор учёта электроэнергии на электрообогрев.</w:t>
      </w:r>
    </w:p>
    <w:p w:rsidR="009812FD" w:rsidRPr="006C4608" w:rsidRDefault="009812FD" w:rsidP="009812FD">
      <w:pPr>
        <w:ind w:firstLine="540"/>
      </w:pPr>
    </w:p>
    <w:p w:rsidR="009812FD" w:rsidRDefault="009812FD" w:rsidP="009812FD">
      <w:pPr>
        <w:pStyle w:val="a3"/>
        <w:tabs>
          <w:tab w:val="clear" w:pos="4536"/>
          <w:tab w:val="left" w:pos="709"/>
          <w:tab w:val="left" w:pos="7371"/>
        </w:tabs>
        <w:ind w:firstLine="709"/>
        <w:jc w:val="center"/>
        <w:rPr>
          <w:sz w:val="24"/>
          <w:szCs w:val="24"/>
        </w:rPr>
      </w:pPr>
    </w:p>
    <w:p w:rsidR="009812FD" w:rsidRPr="00FB5A1A" w:rsidRDefault="009812FD" w:rsidP="008E6383">
      <w:pPr>
        <w:pStyle w:val="a3"/>
        <w:tabs>
          <w:tab w:val="clear" w:pos="4536"/>
          <w:tab w:val="clear" w:pos="9072"/>
          <w:tab w:val="left" w:pos="567"/>
          <w:tab w:val="left" w:pos="6804"/>
        </w:tabs>
        <w:ind w:firstLine="709"/>
        <w:jc w:val="both"/>
        <w:rPr>
          <w:sz w:val="24"/>
          <w:szCs w:val="24"/>
        </w:rPr>
      </w:pPr>
      <w:r w:rsidRPr="00FB5A1A">
        <w:rPr>
          <w:sz w:val="24"/>
          <w:szCs w:val="24"/>
        </w:rPr>
        <w:t xml:space="preserve">Исполняющий обязанности </w:t>
      </w:r>
    </w:p>
    <w:p w:rsidR="009812FD" w:rsidRDefault="001F7E22" w:rsidP="009812FD">
      <w:pPr>
        <w:pStyle w:val="a3"/>
        <w:tabs>
          <w:tab w:val="clear" w:pos="4536"/>
          <w:tab w:val="clear" w:pos="9072"/>
          <w:tab w:val="left" w:pos="567"/>
          <w:tab w:val="left" w:pos="6804"/>
        </w:tabs>
        <w:jc w:val="both"/>
        <w:rPr>
          <w:sz w:val="24"/>
          <w:szCs w:val="24"/>
        </w:rPr>
      </w:pPr>
      <w:r>
        <w:rPr>
          <w:sz w:val="24"/>
          <w:szCs w:val="24"/>
        </w:rPr>
        <w:t>п</w:t>
      </w:r>
      <w:r w:rsidR="009812FD" w:rsidRPr="00FB5A1A">
        <w:rPr>
          <w:sz w:val="24"/>
          <w:szCs w:val="24"/>
        </w:rPr>
        <w:t xml:space="preserve">редседателя Государственного комитета               </w:t>
      </w:r>
      <w:r w:rsidR="009812FD">
        <w:rPr>
          <w:sz w:val="24"/>
          <w:szCs w:val="24"/>
        </w:rPr>
        <w:t xml:space="preserve">                    </w:t>
      </w:r>
      <w:r w:rsidR="009812FD" w:rsidRPr="00FB5A1A">
        <w:rPr>
          <w:sz w:val="24"/>
          <w:szCs w:val="24"/>
        </w:rPr>
        <w:t xml:space="preserve">              </w:t>
      </w:r>
      <w:r w:rsidR="009812FD">
        <w:rPr>
          <w:sz w:val="24"/>
          <w:szCs w:val="24"/>
        </w:rPr>
        <w:t xml:space="preserve">  </w:t>
      </w:r>
      <w:r w:rsidR="009812FD" w:rsidRPr="00FB5A1A">
        <w:rPr>
          <w:sz w:val="24"/>
          <w:szCs w:val="24"/>
        </w:rPr>
        <w:t xml:space="preserve">                 Т.В. Кучиц</w:t>
      </w:r>
    </w:p>
    <w:p w:rsidR="009812FD" w:rsidRDefault="009812FD" w:rsidP="009812FD">
      <w:pPr>
        <w:pStyle w:val="a3"/>
        <w:tabs>
          <w:tab w:val="clear" w:pos="4536"/>
          <w:tab w:val="clear" w:pos="9072"/>
          <w:tab w:val="left" w:pos="567"/>
          <w:tab w:val="left" w:pos="6804"/>
        </w:tabs>
        <w:jc w:val="both"/>
        <w:rPr>
          <w:sz w:val="24"/>
          <w:szCs w:val="24"/>
        </w:rPr>
      </w:pPr>
    </w:p>
    <w:sectPr w:rsidR="009812FD" w:rsidSect="008D765F">
      <w:pgSz w:w="11906" w:h="16838" w:code="9"/>
      <w:pgMar w:top="567" w:right="991" w:bottom="851" w:left="130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F23" w:rsidRDefault="00AF6F23" w:rsidP="00FB71DD">
      <w:r>
        <w:separator/>
      </w:r>
    </w:p>
  </w:endnote>
  <w:endnote w:type="continuationSeparator" w:id="0">
    <w:p w:rsidR="00AF6F23" w:rsidRDefault="00AF6F23" w:rsidP="00FB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F23" w:rsidRDefault="00AF6F23" w:rsidP="00FB71DD">
      <w:r>
        <w:separator/>
      </w:r>
    </w:p>
  </w:footnote>
  <w:footnote w:type="continuationSeparator" w:id="0">
    <w:p w:rsidR="00AF6F23" w:rsidRDefault="00AF6F23" w:rsidP="00FB7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89" w:rsidRDefault="00847EAE" w:rsidP="008D765F">
    <w:pPr>
      <w:pStyle w:val="a3"/>
      <w:framePr w:wrap="around" w:vAnchor="text" w:hAnchor="margin" w:xAlign="center" w:y="1"/>
      <w:rPr>
        <w:rStyle w:val="a5"/>
      </w:rPr>
    </w:pPr>
    <w:r>
      <w:rPr>
        <w:rStyle w:val="a5"/>
      </w:rPr>
      <w:fldChar w:fldCharType="begin"/>
    </w:r>
    <w:r w:rsidR="00D84589">
      <w:rPr>
        <w:rStyle w:val="a5"/>
      </w:rPr>
      <w:instrText xml:space="preserve">PAGE  </w:instrText>
    </w:r>
    <w:r>
      <w:rPr>
        <w:rStyle w:val="a5"/>
      </w:rPr>
      <w:fldChar w:fldCharType="end"/>
    </w:r>
  </w:p>
  <w:p w:rsidR="00D84589" w:rsidRDefault="00D8458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89" w:rsidRPr="00CF6448" w:rsidRDefault="00847EAE" w:rsidP="008D765F">
    <w:pPr>
      <w:pStyle w:val="a3"/>
      <w:framePr w:wrap="around" w:vAnchor="text" w:hAnchor="margin" w:xAlign="center" w:y="1"/>
      <w:rPr>
        <w:rStyle w:val="a5"/>
        <w:sz w:val="22"/>
        <w:szCs w:val="22"/>
      </w:rPr>
    </w:pPr>
    <w:r w:rsidRPr="00CF6448">
      <w:rPr>
        <w:rStyle w:val="a5"/>
        <w:sz w:val="22"/>
        <w:szCs w:val="22"/>
      </w:rPr>
      <w:fldChar w:fldCharType="begin"/>
    </w:r>
    <w:r w:rsidR="00D84589" w:rsidRPr="00CF6448">
      <w:rPr>
        <w:rStyle w:val="a5"/>
        <w:sz w:val="22"/>
        <w:szCs w:val="22"/>
      </w:rPr>
      <w:instrText xml:space="preserve">PAGE  </w:instrText>
    </w:r>
    <w:r w:rsidRPr="00CF6448">
      <w:rPr>
        <w:rStyle w:val="a5"/>
        <w:sz w:val="22"/>
        <w:szCs w:val="22"/>
      </w:rPr>
      <w:fldChar w:fldCharType="separate"/>
    </w:r>
    <w:r w:rsidR="00DA524F">
      <w:rPr>
        <w:rStyle w:val="a5"/>
        <w:noProof/>
        <w:sz w:val="22"/>
        <w:szCs w:val="22"/>
      </w:rPr>
      <w:t>4</w:t>
    </w:r>
    <w:r w:rsidRPr="00CF6448">
      <w:rPr>
        <w:rStyle w:val="a5"/>
        <w:sz w:val="22"/>
        <w:szCs w:val="22"/>
      </w:rPr>
      <w:fldChar w:fldCharType="end"/>
    </w:r>
  </w:p>
  <w:p w:rsidR="00D84589" w:rsidRDefault="00D845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67AAD"/>
    <w:multiLevelType w:val="hybridMultilevel"/>
    <w:tmpl w:val="2F74DF68"/>
    <w:lvl w:ilvl="0" w:tplc="232815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2FD"/>
    <w:rsid w:val="000003E2"/>
    <w:rsid w:val="000004D7"/>
    <w:rsid w:val="00000731"/>
    <w:rsid w:val="000013EF"/>
    <w:rsid w:val="0000187E"/>
    <w:rsid w:val="00002735"/>
    <w:rsid w:val="00003589"/>
    <w:rsid w:val="00005BA3"/>
    <w:rsid w:val="000060B9"/>
    <w:rsid w:val="00006E6B"/>
    <w:rsid w:val="000076B1"/>
    <w:rsid w:val="00007C8D"/>
    <w:rsid w:val="000117BE"/>
    <w:rsid w:val="00011A01"/>
    <w:rsid w:val="00011FF1"/>
    <w:rsid w:val="00012B06"/>
    <w:rsid w:val="00012BBC"/>
    <w:rsid w:val="00013464"/>
    <w:rsid w:val="00014C63"/>
    <w:rsid w:val="00014FD3"/>
    <w:rsid w:val="00015522"/>
    <w:rsid w:val="00015774"/>
    <w:rsid w:val="00015971"/>
    <w:rsid w:val="00015A3E"/>
    <w:rsid w:val="00015C2F"/>
    <w:rsid w:val="00015DF9"/>
    <w:rsid w:val="00016772"/>
    <w:rsid w:val="00016BC0"/>
    <w:rsid w:val="00017413"/>
    <w:rsid w:val="00017544"/>
    <w:rsid w:val="000177FF"/>
    <w:rsid w:val="00017B00"/>
    <w:rsid w:val="0002044C"/>
    <w:rsid w:val="00020CB8"/>
    <w:rsid w:val="00023573"/>
    <w:rsid w:val="00023C34"/>
    <w:rsid w:val="00023DCA"/>
    <w:rsid w:val="00024252"/>
    <w:rsid w:val="0002469A"/>
    <w:rsid w:val="00024A81"/>
    <w:rsid w:val="0002514F"/>
    <w:rsid w:val="0002633F"/>
    <w:rsid w:val="0002764E"/>
    <w:rsid w:val="000276ED"/>
    <w:rsid w:val="00027FB3"/>
    <w:rsid w:val="00030036"/>
    <w:rsid w:val="000303C8"/>
    <w:rsid w:val="000304B5"/>
    <w:rsid w:val="00030651"/>
    <w:rsid w:val="00030A1E"/>
    <w:rsid w:val="00030EB0"/>
    <w:rsid w:val="00031649"/>
    <w:rsid w:val="000318A4"/>
    <w:rsid w:val="00031F09"/>
    <w:rsid w:val="00031F48"/>
    <w:rsid w:val="000322D3"/>
    <w:rsid w:val="00032591"/>
    <w:rsid w:val="00032F28"/>
    <w:rsid w:val="00033185"/>
    <w:rsid w:val="00033EE3"/>
    <w:rsid w:val="000340A3"/>
    <w:rsid w:val="00034743"/>
    <w:rsid w:val="00034C73"/>
    <w:rsid w:val="00035648"/>
    <w:rsid w:val="00035EA7"/>
    <w:rsid w:val="00036089"/>
    <w:rsid w:val="00037127"/>
    <w:rsid w:val="000376C4"/>
    <w:rsid w:val="00037E46"/>
    <w:rsid w:val="0004002E"/>
    <w:rsid w:val="00040B23"/>
    <w:rsid w:val="00041144"/>
    <w:rsid w:val="000428B1"/>
    <w:rsid w:val="00042B83"/>
    <w:rsid w:val="00042F9A"/>
    <w:rsid w:val="0004367C"/>
    <w:rsid w:val="0004374D"/>
    <w:rsid w:val="0004408E"/>
    <w:rsid w:val="00044AAC"/>
    <w:rsid w:val="00045424"/>
    <w:rsid w:val="000459FC"/>
    <w:rsid w:val="00045FDA"/>
    <w:rsid w:val="000460E9"/>
    <w:rsid w:val="00046975"/>
    <w:rsid w:val="00046ACA"/>
    <w:rsid w:val="00047677"/>
    <w:rsid w:val="000478C9"/>
    <w:rsid w:val="00047A4C"/>
    <w:rsid w:val="00047C10"/>
    <w:rsid w:val="0005033E"/>
    <w:rsid w:val="000504F5"/>
    <w:rsid w:val="0005166A"/>
    <w:rsid w:val="000519F0"/>
    <w:rsid w:val="00053684"/>
    <w:rsid w:val="00053F5E"/>
    <w:rsid w:val="00054EA8"/>
    <w:rsid w:val="00054F28"/>
    <w:rsid w:val="0005611B"/>
    <w:rsid w:val="00057155"/>
    <w:rsid w:val="000578AE"/>
    <w:rsid w:val="000578D0"/>
    <w:rsid w:val="00060A71"/>
    <w:rsid w:val="000616F3"/>
    <w:rsid w:val="00061B96"/>
    <w:rsid w:val="000625B6"/>
    <w:rsid w:val="00063F46"/>
    <w:rsid w:val="00063FD8"/>
    <w:rsid w:val="00064A4A"/>
    <w:rsid w:val="000659C8"/>
    <w:rsid w:val="00065F25"/>
    <w:rsid w:val="00066033"/>
    <w:rsid w:val="0006690F"/>
    <w:rsid w:val="00066A02"/>
    <w:rsid w:val="00066EE2"/>
    <w:rsid w:val="000670AA"/>
    <w:rsid w:val="000676BB"/>
    <w:rsid w:val="00070EDD"/>
    <w:rsid w:val="0007118D"/>
    <w:rsid w:val="0007120B"/>
    <w:rsid w:val="00071E22"/>
    <w:rsid w:val="00071E32"/>
    <w:rsid w:val="00072E5A"/>
    <w:rsid w:val="000737A0"/>
    <w:rsid w:val="00074DF4"/>
    <w:rsid w:val="00074E5D"/>
    <w:rsid w:val="000750E6"/>
    <w:rsid w:val="000751FE"/>
    <w:rsid w:val="0007553D"/>
    <w:rsid w:val="000756A7"/>
    <w:rsid w:val="00075CE9"/>
    <w:rsid w:val="00075E92"/>
    <w:rsid w:val="00076A6A"/>
    <w:rsid w:val="00076EA8"/>
    <w:rsid w:val="000805E0"/>
    <w:rsid w:val="00080C41"/>
    <w:rsid w:val="000817FD"/>
    <w:rsid w:val="00081C5F"/>
    <w:rsid w:val="00081E2A"/>
    <w:rsid w:val="0008269F"/>
    <w:rsid w:val="000831C7"/>
    <w:rsid w:val="00083DA6"/>
    <w:rsid w:val="000847B8"/>
    <w:rsid w:val="00084ACD"/>
    <w:rsid w:val="00085916"/>
    <w:rsid w:val="00085FD8"/>
    <w:rsid w:val="0008632C"/>
    <w:rsid w:val="0008634D"/>
    <w:rsid w:val="00086880"/>
    <w:rsid w:val="00086F34"/>
    <w:rsid w:val="000903D5"/>
    <w:rsid w:val="00091691"/>
    <w:rsid w:val="00091AD4"/>
    <w:rsid w:val="00093584"/>
    <w:rsid w:val="0009365A"/>
    <w:rsid w:val="00095475"/>
    <w:rsid w:val="000956FA"/>
    <w:rsid w:val="00095CA8"/>
    <w:rsid w:val="00096605"/>
    <w:rsid w:val="0009712C"/>
    <w:rsid w:val="00097778"/>
    <w:rsid w:val="0009787C"/>
    <w:rsid w:val="00097FCE"/>
    <w:rsid w:val="000A057D"/>
    <w:rsid w:val="000A16B2"/>
    <w:rsid w:val="000A1BE8"/>
    <w:rsid w:val="000A20CF"/>
    <w:rsid w:val="000A2320"/>
    <w:rsid w:val="000A2342"/>
    <w:rsid w:val="000A25EF"/>
    <w:rsid w:val="000A2E0C"/>
    <w:rsid w:val="000A2F32"/>
    <w:rsid w:val="000A3C3E"/>
    <w:rsid w:val="000A467F"/>
    <w:rsid w:val="000A478D"/>
    <w:rsid w:val="000A54A8"/>
    <w:rsid w:val="000A5C7F"/>
    <w:rsid w:val="000A66E0"/>
    <w:rsid w:val="000A75DA"/>
    <w:rsid w:val="000A7684"/>
    <w:rsid w:val="000A7A16"/>
    <w:rsid w:val="000A7AB0"/>
    <w:rsid w:val="000A7AED"/>
    <w:rsid w:val="000A7DCE"/>
    <w:rsid w:val="000A7F69"/>
    <w:rsid w:val="000B03A6"/>
    <w:rsid w:val="000B0C6C"/>
    <w:rsid w:val="000B1CAC"/>
    <w:rsid w:val="000B26AA"/>
    <w:rsid w:val="000B2F9B"/>
    <w:rsid w:val="000B31EE"/>
    <w:rsid w:val="000B3384"/>
    <w:rsid w:val="000B3AF5"/>
    <w:rsid w:val="000B41C0"/>
    <w:rsid w:val="000B41E4"/>
    <w:rsid w:val="000B444B"/>
    <w:rsid w:val="000B5181"/>
    <w:rsid w:val="000B5696"/>
    <w:rsid w:val="000B594B"/>
    <w:rsid w:val="000B5C13"/>
    <w:rsid w:val="000B5E8F"/>
    <w:rsid w:val="000B7D3C"/>
    <w:rsid w:val="000B7E03"/>
    <w:rsid w:val="000C0040"/>
    <w:rsid w:val="000C024E"/>
    <w:rsid w:val="000C0AE8"/>
    <w:rsid w:val="000C154F"/>
    <w:rsid w:val="000C1861"/>
    <w:rsid w:val="000C2E89"/>
    <w:rsid w:val="000C2F50"/>
    <w:rsid w:val="000C3B81"/>
    <w:rsid w:val="000C45F7"/>
    <w:rsid w:val="000C4806"/>
    <w:rsid w:val="000C4811"/>
    <w:rsid w:val="000C64F3"/>
    <w:rsid w:val="000C69ED"/>
    <w:rsid w:val="000C7BEF"/>
    <w:rsid w:val="000D0578"/>
    <w:rsid w:val="000D165E"/>
    <w:rsid w:val="000D16F4"/>
    <w:rsid w:val="000D1732"/>
    <w:rsid w:val="000D2020"/>
    <w:rsid w:val="000D228E"/>
    <w:rsid w:val="000D359B"/>
    <w:rsid w:val="000D3823"/>
    <w:rsid w:val="000D38B8"/>
    <w:rsid w:val="000D3967"/>
    <w:rsid w:val="000D3A9D"/>
    <w:rsid w:val="000D3B99"/>
    <w:rsid w:val="000D4223"/>
    <w:rsid w:val="000D4AC9"/>
    <w:rsid w:val="000D61B4"/>
    <w:rsid w:val="000D6414"/>
    <w:rsid w:val="000D6B62"/>
    <w:rsid w:val="000D724C"/>
    <w:rsid w:val="000D73B4"/>
    <w:rsid w:val="000D7A30"/>
    <w:rsid w:val="000D7BA9"/>
    <w:rsid w:val="000E0B76"/>
    <w:rsid w:val="000E1085"/>
    <w:rsid w:val="000E179C"/>
    <w:rsid w:val="000E19B3"/>
    <w:rsid w:val="000E2450"/>
    <w:rsid w:val="000E4DA0"/>
    <w:rsid w:val="000E50CD"/>
    <w:rsid w:val="000E54D1"/>
    <w:rsid w:val="000E54ED"/>
    <w:rsid w:val="000E596D"/>
    <w:rsid w:val="000E6222"/>
    <w:rsid w:val="000E630C"/>
    <w:rsid w:val="000E7082"/>
    <w:rsid w:val="000E76EF"/>
    <w:rsid w:val="000E7B79"/>
    <w:rsid w:val="000E7CB5"/>
    <w:rsid w:val="000F2194"/>
    <w:rsid w:val="000F2C9D"/>
    <w:rsid w:val="000F30E8"/>
    <w:rsid w:val="000F354A"/>
    <w:rsid w:val="000F3995"/>
    <w:rsid w:val="000F4060"/>
    <w:rsid w:val="000F468A"/>
    <w:rsid w:val="000F4731"/>
    <w:rsid w:val="000F548A"/>
    <w:rsid w:val="000F5D19"/>
    <w:rsid w:val="000F5D8D"/>
    <w:rsid w:val="000F5E7C"/>
    <w:rsid w:val="000F73AC"/>
    <w:rsid w:val="00100FBC"/>
    <w:rsid w:val="00102146"/>
    <w:rsid w:val="001024CD"/>
    <w:rsid w:val="00102E19"/>
    <w:rsid w:val="00102EC4"/>
    <w:rsid w:val="00102FEB"/>
    <w:rsid w:val="00103CAD"/>
    <w:rsid w:val="00104099"/>
    <w:rsid w:val="00104F3C"/>
    <w:rsid w:val="00104F7E"/>
    <w:rsid w:val="00105162"/>
    <w:rsid w:val="00107710"/>
    <w:rsid w:val="00107733"/>
    <w:rsid w:val="00107C1B"/>
    <w:rsid w:val="00110626"/>
    <w:rsid w:val="001108A1"/>
    <w:rsid w:val="001114AB"/>
    <w:rsid w:val="00111652"/>
    <w:rsid w:val="00111D43"/>
    <w:rsid w:val="00112358"/>
    <w:rsid w:val="00113985"/>
    <w:rsid w:val="00115F59"/>
    <w:rsid w:val="00116684"/>
    <w:rsid w:val="001167FD"/>
    <w:rsid w:val="00116AA6"/>
    <w:rsid w:val="0011724A"/>
    <w:rsid w:val="001175F4"/>
    <w:rsid w:val="00117B0E"/>
    <w:rsid w:val="00117B5A"/>
    <w:rsid w:val="0012035D"/>
    <w:rsid w:val="001204AF"/>
    <w:rsid w:val="001209BA"/>
    <w:rsid w:val="00120AAB"/>
    <w:rsid w:val="00120D5A"/>
    <w:rsid w:val="00121611"/>
    <w:rsid w:val="00121F22"/>
    <w:rsid w:val="00122250"/>
    <w:rsid w:val="00122D12"/>
    <w:rsid w:val="00122F67"/>
    <w:rsid w:val="00124F66"/>
    <w:rsid w:val="00125436"/>
    <w:rsid w:val="001258B1"/>
    <w:rsid w:val="00125BEB"/>
    <w:rsid w:val="001265E7"/>
    <w:rsid w:val="00126668"/>
    <w:rsid w:val="00126D50"/>
    <w:rsid w:val="0012794D"/>
    <w:rsid w:val="00127AFE"/>
    <w:rsid w:val="001300B7"/>
    <w:rsid w:val="001301AF"/>
    <w:rsid w:val="0013063B"/>
    <w:rsid w:val="001312D3"/>
    <w:rsid w:val="0013148B"/>
    <w:rsid w:val="00131604"/>
    <w:rsid w:val="00132C2E"/>
    <w:rsid w:val="00133298"/>
    <w:rsid w:val="00133956"/>
    <w:rsid w:val="00133976"/>
    <w:rsid w:val="001339D8"/>
    <w:rsid w:val="00133DF6"/>
    <w:rsid w:val="00134A3A"/>
    <w:rsid w:val="00135635"/>
    <w:rsid w:val="00135679"/>
    <w:rsid w:val="00135799"/>
    <w:rsid w:val="00135A5E"/>
    <w:rsid w:val="0013619B"/>
    <w:rsid w:val="00136633"/>
    <w:rsid w:val="00136AE9"/>
    <w:rsid w:val="001379BE"/>
    <w:rsid w:val="00137B3E"/>
    <w:rsid w:val="00137D43"/>
    <w:rsid w:val="001404BC"/>
    <w:rsid w:val="0014050E"/>
    <w:rsid w:val="00140724"/>
    <w:rsid w:val="00140838"/>
    <w:rsid w:val="00140A0D"/>
    <w:rsid w:val="0014114A"/>
    <w:rsid w:val="00142086"/>
    <w:rsid w:val="001423E3"/>
    <w:rsid w:val="00142BF8"/>
    <w:rsid w:val="00142C11"/>
    <w:rsid w:val="00142CA5"/>
    <w:rsid w:val="001435D8"/>
    <w:rsid w:val="001441E4"/>
    <w:rsid w:val="00145BF7"/>
    <w:rsid w:val="0014620B"/>
    <w:rsid w:val="0014668E"/>
    <w:rsid w:val="00146BEE"/>
    <w:rsid w:val="00146D53"/>
    <w:rsid w:val="00147561"/>
    <w:rsid w:val="00147A47"/>
    <w:rsid w:val="00147FF1"/>
    <w:rsid w:val="001502FE"/>
    <w:rsid w:val="0015051F"/>
    <w:rsid w:val="00150AC6"/>
    <w:rsid w:val="00150B89"/>
    <w:rsid w:val="00150C60"/>
    <w:rsid w:val="00150DB7"/>
    <w:rsid w:val="001515C4"/>
    <w:rsid w:val="00152402"/>
    <w:rsid w:val="001525A5"/>
    <w:rsid w:val="001528BE"/>
    <w:rsid w:val="0015354F"/>
    <w:rsid w:val="001536BD"/>
    <w:rsid w:val="0015399C"/>
    <w:rsid w:val="001544C0"/>
    <w:rsid w:val="001545CC"/>
    <w:rsid w:val="00155309"/>
    <w:rsid w:val="001555C3"/>
    <w:rsid w:val="00155782"/>
    <w:rsid w:val="001557E7"/>
    <w:rsid w:val="00157F86"/>
    <w:rsid w:val="00160067"/>
    <w:rsid w:val="001603C7"/>
    <w:rsid w:val="00160570"/>
    <w:rsid w:val="00160576"/>
    <w:rsid w:val="00160C78"/>
    <w:rsid w:val="00160D40"/>
    <w:rsid w:val="00160E96"/>
    <w:rsid w:val="00161678"/>
    <w:rsid w:val="00161AD5"/>
    <w:rsid w:val="00162446"/>
    <w:rsid w:val="00162F5C"/>
    <w:rsid w:val="0016335C"/>
    <w:rsid w:val="00163721"/>
    <w:rsid w:val="00163DB1"/>
    <w:rsid w:val="00163EED"/>
    <w:rsid w:val="0016466C"/>
    <w:rsid w:val="001648D8"/>
    <w:rsid w:val="00165AEF"/>
    <w:rsid w:val="00166084"/>
    <w:rsid w:val="00166B8A"/>
    <w:rsid w:val="0016711B"/>
    <w:rsid w:val="001679A3"/>
    <w:rsid w:val="00170340"/>
    <w:rsid w:val="00170769"/>
    <w:rsid w:val="001707FC"/>
    <w:rsid w:val="001713FF"/>
    <w:rsid w:val="00171708"/>
    <w:rsid w:val="00171714"/>
    <w:rsid w:val="001718F0"/>
    <w:rsid w:val="00171B5B"/>
    <w:rsid w:val="00171DE7"/>
    <w:rsid w:val="00171FC9"/>
    <w:rsid w:val="001722D4"/>
    <w:rsid w:val="00172CD0"/>
    <w:rsid w:val="00172CD9"/>
    <w:rsid w:val="00172F99"/>
    <w:rsid w:val="00172FE8"/>
    <w:rsid w:val="00173494"/>
    <w:rsid w:val="001738E3"/>
    <w:rsid w:val="00174B6C"/>
    <w:rsid w:val="00174E92"/>
    <w:rsid w:val="00175227"/>
    <w:rsid w:val="00175FBB"/>
    <w:rsid w:val="0017626C"/>
    <w:rsid w:val="001768D3"/>
    <w:rsid w:val="00177E1F"/>
    <w:rsid w:val="00180348"/>
    <w:rsid w:val="001805C2"/>
    <w:rsid w:val="00181640"/>
    <w:rsid w:val="00181755"/>
    <w:rsid w:val="00181806"/>
    <w:rsid w:val="00181940"/>
    <w:rsid w:val="0018228C"/>
    <w:rsid w:val="0018309E"/>
    <w:rsid w:val="0018311B"/>
    <w:rsid w:val="001839A3"/>
    <w:rsid w:val="001839FC"/>
    <w:rsid w:val="00186DA9"/>
    <w:rsid w:val="00190384"/>
    <w:rsid w:val="00190560"/>
    <w:rsid w:val="001909FF"/>
    <w:rsid w:val="00191CF7"/>
    <w:rsid w:val="00191F4E"/>
    <w:rsid w:val="00192635"/>
    <w:rsid w:val="00192D6A"/>
    <w:rsid w:val="001931CD"/>
    <w:rsid w:val="001935CB"/>
    <w:rsid w:val="001935CD"/>
    <w:rsid w:val="00194033"/>
    <w:rsid w:val="00194315"/>
    <w:rsid w:val="001943AD"/>
    <w:rsid w:val="00194676"/>
    <w:rsid w:val="0019487C"/>
    <w:rsid w:val="001950E6"/>
    <w:rsid w:val="00195461"/>
    <w:rsid w:val="0019562A"/>
    <w:rsid w:val="0019567A"/>
    <w:rsid w:val="00196950"/>
    <w:rsid w:val="0019698B"/>
    <w:rsid w:val="00197440"/>
    <w:rsid w:val="001A047C"/>
    <w:rsid w:val="001A0CFC"/>
    <w:rsid w:val="001A1AA6"/>
    <w:rsid w:val="001A3079"/>
    <w:rsid w:val="001A5125"/>
    <w:rsid w:val="001A5233"/>
    <w:rsid w:val="001A597F"/>
    <w:rsid w:val="001A605A"/>
    <w:rsid w:val="001A7C45"/>
    <w:rsid w:val="001B0578"/>
    <w:rsid w:val="001B15B2"/>
    <w:rsid w:val="001B22DF"/>
    <w:rsid w:val="001B276D"/>
    <w:rsid w:val="001B2BB5"/>
    <w:rsid w:val="001B4171"/>
    <w:rsid w:val="001B48A8"/>
    <w:rsid w:val="001B4E3E"/>
    <w:rsid w:val="001B5028"/>
    <w:rsid w:val="001B5036"/>
    <w:rsid w:val="001B5107"/>
    <w:rsid w:val="001B53B5"/>
    <w:rsid w:val="001B54CA"/>
    <w:rsid w:val="001B5BC8"/>
    <w:rsid w:val="001B79A9"/>
    <w:rsid w:val="001C0216"/>
    <w:rsid w:val="001C08FA"/>
    <w:rsid w:val="001C1769"/>
    <w:rsid w:val="001C2515"/>
    <w:rsid w:val="001C28BA"/>
    <w:rsid w:val="001C2F59"/>
    <w:rsid w:val="001C3D2C"/>
    <w:rsid w:val="001C3D54"/>
    <w:rsid w:val="001C4262"/>
    <w:rsid w:val="001C4A0A"/>
    <w:rsid w:val="001C4D34"/>
    <w:rsid w:val="001C5A34"/>
    <w:rsid w:val="001C631A"/>
    <w:rsid w:val="001C6924"/>
    <w:rsid w:val="001C6F26"/>
    <w:rsid w:val="001C7876"/>
    <w:rsid w:val="001D0339"/>
    <w:rsid w:val="001D0806"/>
    <w:rsid w:val="001D1603"/>
    <w:rsid w:val="001D2878"/>
    <w:rsid w:val="001D2E85"/>
    <w:rsid w:val="001D33EC"/>
    <w:rsid w:val="001D34F1"/>
    <w:rsid w:val="001D3918"/>
    <w:rsid w:val="001D3A24"/>
    <w:rsid w:val="001D3D66"/>
    <w:rsid w:val="001D3DF6"/>
    <w:rsid w:val="001D3E2F"/>
    <w:rsid w:val="001D454E"/>
    <w:rsid w:val="001D47B5"/>
    <w:rsid w:val="001D4CE7"/>
    <w:rsid w:val="001D51A8"/>
    <w:rsid w:val="001D5CF9"/>
    <w:rsid w:val="001D65D6"/>
    <w:rsid w:val="001D7B3C"/>
    <w:rsid w:val="001E0513"/>
    <w:rsid w:val="001E06B9"/>
    <w:rsid w:val="001E0A00"/>
    <w:rsid w:val="001E0A99"/>
    <w:rsid w:val="001E219E"/>
    <w:rsid w:val="001E2223"/>
    <w:rsid w:val="001E23E8"/>
    <w:rsid w:val="001E23F0"/>
    <w:rsid w:val="001E2E82"/>
    <w:rsid w:val="001E3341"/>
    <w:rsid w:val="001E351C"/>
    <w:rsid w:val="001E3BA3"/>
    <w:rsid w:val="001E3E8E"/>
    <w:rsid w:val="001E50A1"/>
    <w:rsid w:val="001E52A5"/>
    <w:rsid w:val="001E544D"/>
    <w:rsid w:val="001E5551"/>
    <w:rsid w:val="001E5BC3"/>
    <w:rsid w:val="001E5F44"/>
    <w:rsid w:val="001E6478"/>
    <w:rsid w:val="001E6AD8"/>
    <w:rsid w:val="001E6CD1"/>
    <w:rsid w:val="001E7CF3"/>
    <w:rsid w:val="001F19F0"/>
    <w:rsid w:val="001F1B58"/>
    <w:rsid w:val="001F2608"/>
    <w:rsid w:val="001F2F1F"/>
    <w:rsid w:val="001F3090"/>
    <w:rsid w:val="001F3196"/>
    <w:rsid w:val="001F3C2E"/>
    <w:rsid w:val="001F3D67"/>
    <w:rsid w:val="001F46BD"/>
    <w:rsid w:val="001F4C5D"/>
    <w:rsid w:val="001F58B4"/>
    <w:rsid w:val="001F5AF9"/>
    <w:rsid w:val="001F5FC9"/>
    <w:rsid w:val="001F6FC5"/>
    <w:rsid w:val="001F71F6"/>
    <w:rsid w:val="001F72C2"/>
    <w:rsid w:val="001F7813"/>
    <w:rsid w:val="001F7B46"/>
    <w:rsid w:val="001F7BEE"/>
    <w:rsid w:val="001F7E22"/>
    <w:rsid w:val="002007C1"/>
    <w:rsid w:val="002010C4"/>
    <w:rsid w:val="002014CD"/>
    <w:rsid w:val="00201A11"/>
    <w:rsid w:val="00201C05"/>
    <w:rsid w:val="00201F4A"/>
    <w:rsid w:val="00202128"/>
    <w:rsid w:val="00202215"/>
    <w:rsid w:val="002023E3"/>
    <w:rsid w:val="002034B3"/>
    <w:rsid w:val="00203518"/>
    <w:rsid w:val="002037EA"/>
    <w:rsid w:val="00203E05"/>
    <w:rsid w:val="00203EAF"/>
    <w:rsid w:val="0020432A"/>
    <w:rsid w:val="00205418"/>
    <w:rsid w:val="00205EC4"/>
    <w:rsid w:val="002069E8"/>
    <w:rsid w:val="0020724F"/>
    <w:rsid w:val="00210271"/>
    <w:rsid w:val="00210F9B"/>
    <w:rsid w:val="00211502"/>
    <w:rsid w:val="002116E8"/>
    <w:rsid w:val="00212004"/>
    <w:rsid w:val="00212722"/>
    <w:rsid w:val="00212928"/>
    <w:rsid w:val="002134BB"/>
    <w:rsid w:val="00213DD9"/>
    <w:rsid w:val="002147C3"/>
    <w:rsid w:val="0021558E"/>
    <w:rsid w:val="0021575E"/>
    <w:rsid w:val="00215E8D"/>
    <w:rsid w:val="002165E4"/>
    <w:rsid w:val="00216AE2"/>
    <w:rsid w:val="00216AF7"/>
    <w:rsid w:val="00216B82"/>
    <w:rsid w:val="0022059E"/>
    <w:rsid w:val="002211B8"/>
    <w:rsid w:val="00222308"/>
    <w:rsid w:val="002233D8"/>
    <w:rsid w:val="00224077"/>
    <w:rsid w:val="00225656"/>
    <w:rsid w:val="002257FB"/>
    <w:rsid w:val="00227315"/>
    <w:rsid w:val="00230603"/>
    <w:rsid w:val="00231AB1"/>
    <w:rsid w:val="002326D5"/>
    <w:rsid w:val="00232707"/>
    <w:rsid w:val="00233A95"/>
    <w:rsid w:val="002340B0"/>
    <w:rsid w:val="0023441A"/>
    <w:rsid w:val="0023456D"/>
    <w:rsid w:val="0023492C"/>
    <w:rsid w:val="0023620C"/>
    <w:rsid w:val="002368A0"/>
    <w:rsid w:val="0023730B"/>
    <w:rsid w:val="00237C45"/>
    <w:rsid w:val="00237E5C"/>
    <w:rsid w:val="002405B6"/>
    <w:rsid w:val="00241010"/>
    <w:rsid w:val="002422EA"/>
    <w:rsid w:val="002426CA"/>
    <w:rsid w:val="002431EC"/>
    <w:rsid w:val="0024360B"/>
    <w:rsid w:val="00243780"/>
    <w:rsid w:val="00243ACD"/>
    <w:rsid w:val="00243D16"/>
    <w:rsid w:val="00244384"/>
    <w:rsid w:val="0024443E"/>
    <w:rsid w:val="00250DBF"/>
    <w:rsid w:val="002518FB"/>
    <w:rsid w:val="002526A0"/>
    <w:rsid w:val="00254C92"/>
    <w:rsid w:val="002553C2"/>
    <w:rsid w:val="00255435"/>
    <w:rsid w:val="00255E7A"/>
    <w:rsid w:val="002564C4"/>
    <w:rsid w:val="00256FAB"/>
    <w:rsid w:val="00257F75"/>
    <w:rsid w:val="00260AB9"/>
    <w:rsid w:val="00260C58"/>
    <w:rsid w:val="00261213"/>
    <w:rsid w:val="002613AE"/>
    <w:rsid w:val="00261A6F"/>
    <w:rsid w:val="00261C80"/>
    <w:rsid w:val="002620F3"/>
    <w:rsid w:val="00262AEA"/>
    <w:rsid w:val="00262B08"/>
    <w:rsid w:val="00262BEB"/>
    <w:rsid w:val="0026321E"/>
    <w:rsid w:val="00263378"/>
    <w:rsid w:val="00263398"/>
    <w:rsid w:val="00263994"/>
    <w:rsid w:val="002643E5"/>
    <w:rsid w:val="0026452F"/>
    <w:rsid w:val="00264C49"/>
    <w:rsid w:val="00264CF8"/>
    <w:rsid w:val="00265225"/>
    <w:rsid w:val="00265391"/>
    <w:rsid w:val="00265479"/>
    <w:rsid w:val="0026560C"/>
    <w:rsid w:val="00265720"/>
    <w:rsid w:val="00265C69"/>
    <w:rsid w:val="00266E3E"/>
    <w:rsid w:val="0026751A"/>
    <w:rsid w:val="00270619"/>
    <w:rsid w:val="00270DFE"/>
    <w:rsid w:val="00270E65"/>
    <w:rsid w:val="002716A2"/>
    <w:rsid w:val="0027201D"/>
    <w:rsid w:val="00272076"/>
    <w:rsid w:val="0027297A"/>
    <w:rsid w:val="00274888"/>
    <w:rsid w:val="00274E59"/>
    <w:rsid w:val="002756CF"/>
    <w:rsid w:val="002767F2"/>
    <w:rsid w:val="00277A83"/>
    <w:rsid w:val="002803FE"/>
    <w:rsid w:val="0028141E"/>
    <w:rsid w:val="00281CC3"/>
    <w:rsid w:val="00282316"/>
    <w:rsid w:val="00282A2F"/>
    <w:rsid w:val="00283686"/>
    <w:rsid w:val="00283CA1"/>
    <w:rsid w:val="0028410A"/>
    <w:rsid w:val="00284339"/>
    <w:rsid w:val="002846FF"/>
    <w:rsid w:val="00286034"/>
    <w:rsid w:val="002866B6"/>
    <w:rsid w:val="0028682D"/>
    <w:rsid w:val="00286C7E"/>
    <w:rsid w:val="00287028"/>
    <w:rsid w:val="00287301"/>
    <w:rsid w:val="00290490"/>
    <w:rsid w:val="00290CA4"/>
    <w:rsid w:val="002910A6"/>
    <w:rsid w:val="00291D08"/>
    <w:rsid w:val="00291EAC"/>
    <w:rsid w:val="0029205F"/>
    <w:rsid w:val="00292448"/>
    <w:rsid w:val="002924BA"/>
    <w:rsid w:val="002928EF"/>
    <w:rsid w:val="00293316"/>
    <w:rsid w:val="00293F53"/>
    <w:rsid w:val="00294708"/>
    <w:rsid w:val="00294D1D"/>
    <w:rsid w:val="0029527D"/>
    <w:rsid w:val="00295554"/>
    <w:rsid w:val="00295592"/>
    <w:rsid w:val="00295BC0"/>
    <w:rsid w:val="00295F37"/>
    <w:rsid w:val="00296862"/>
    <w:rsid w:val="002A2B26"/>
    <w:rsid w:val="002A3314"/>
    <w:rsid w:val="002A3338"/>
    <w:rsid w:val="002A334D"/>
    <w:rsid w:val="002A351C"/>
    <w:rsid w:val="002A37F0"/>
    <w:rsid w:val="002A3FF4"/>
    <w:rsid w:val="002A40C2"/>
    <w:rsid w:val="002A463E"/>
    <w:rsid w:val="002A49BB"/>
    <w:rsid w:val="002A49F0"/>
    <w:rsid w:val="002A4F93"/>
    <w:rsid w:val="002A4FAE"/>
    <w:rsid w:val="002A5218"/>
    <w:rsid w:val="002A6D61"/>
    <w:rsid w:val="002A6E24"/>
    <w:rsid w:val="002A75F9"/>
    <w:rsid w:val="002B0975"/>
    <w:rsid w:val="002B0D9F"/>
    <w:rsid w:val="002B0E8B"/>
    <w:rsid w:val="002B1110"/>
    <w:rsid w:val="002B140C"/>
    <w:rsid w:val="002B149F"/>
    <w:rsid w:val="002B1E7D"/>
    <w:rsid w:val="002B22DE"/>
    <w:rsid w:val="002B2639"/>
    <w:rsid w:val="002B344E"/>
    <w:rsid w:val="002B528E"/>
    <w:rsid w:val="002B5398"/>
    <w:rsid w:val="002B58A8"/>
    <w:rsid w:val="002B5A62"/>
    <w:rsid w:val="002B67C6"/>
    <w:rsid w:val="002B6B43"/>
    <w:rsid w:val="002B6DC5"/>
    <w:rsid w:val="002C018A"/>
    <w:rsid w:val="002C04F9"/>
    <w:rsid w:val="002C0819"/>
    <w:rsid w:val="002C1545"/>
    <w:rsid w:val="002C231D"/>
    <w:rsid w:val="002C2634"/>
    <w:rsid w:val="002C28D1"/>
    <w:rsid w:val="002C291C"/>
    <w:rsid w:val="002C357D"/>
    <w:rsid w:val="002C4351"/>
    <w:rsid w:val="002C4509"/>
    <w:rsid w:val="002C5DE4"/>
    <w:rsid w:val="002C6879"/>
    <w:rsid w:val="002C79C0"/>
    <w:rsid w:val="002C7CB2"/>
    <w:rsid w:val="002D0BC2"/>
    <w:rsid w:val="002D1369"/>
    <w:rsid w:val="002D2C70"/>
    <w:rsid w:val="002D3B27"/>
    <w:rsid w:val="002D3CCF"/>
    <w:rsid w:val="002D3E72"/>
    <w:rsid w:val="002D4502"/>
    <w:rsid w:val="002D5756"/>
    <w:rsid w:val="002D6906"/>
    <w:rsid w:val="002D7827"/>
    <w:rsid w:val="002D7E49"/>
    <w:rsid w:val="002E1ACE"/>
    <w:rsid w:val="002E1DE2"/>
    <w:rsid w:val="002E21F5"/>
    <w:rsid w:val="002E2AB9"/>
    <w:rsid w:val="002E2C90"/>
    <w:rsid w:val="002E2FDE"/>
    <w:rsid w:val="002E30CA"/>
    <w:rsid w:val="002E396A"/>
    <w:rsid w:val="002E399D"/>
    <w:rsid w:val="002E3EDE"/>
    <w:rsid w:val="002E423B"/>
    <w:rsid w:val="002E430C"/>
    <w:rsid w:val="002E4674"/>
    <w:rsid w:val="002E4FD9"/>
    <w:rsid w:val="002E5A66"/>
    <w:rsid w:val="002E5E83"/>
    <w:rsid w:val="002E6C6B"/>
    <w:rsid w:val="002E6F46"/>
    <w:rsid w:val="002E7C20"/>
    <w:rsid w:val="002F1B8B"/>
    <w:rsid w:val="002F235B"/>
    <w:rsid w:val="002F2C68"/>
    <w:rsid w:val="002F39DA"/>
    <w:rsid w:val="002F4139"/>
    <w:rsid w:val="002F4D59"/>
    <w:rsid w:val="002F4E73"/>
    <w:rsid w:val="002F53A4"/>
    <w:rsid w:val="002F562E"/>
    <w:rsid w:val="002F5B07"/>
    <w:rsid w:val="002F65E2"/>
    <w:rsid w:val="002F6652"/>
    <w:rsid w:val="002F6734"/>
    <w:rsid w:val="002F67B4"/>
    <w:rsid w:val="002F6954"/>
    <w:rsid w:val="002F6E15"/>
    <w:rsid w:val="002F70B0"/>
    <w:rsid w:val="002F792D"/>
    <w:rsid w:val="002F7FD2"/>
    <w:rsid w:val="0030020A"/>
    <w:rsid w:val="00300593"/>
    <w:rsid w:val="00300887"/>
    <w:rsid w:val="00301397"/>
    <w:rsid w:val="003021E1"/>
    <w:rsid w:val="003024DA"/>
    <w:rsid w:val="00303B0D"/>
    <w:rsid w:val="00305495"/>
    <w:rsid w:val="0030630F"/>
    <w:rsid w:val="00306752"/>
    <w:rsid w:val="003069E6"/>
    <w:rsid w:val="00306BE6"/>
    <w:rsid w:val="00306E00"/>
    <w:rsid w:val="00306FBD"/>
    <w:rsid w:val="00307A2B"/>
    <w:rsid w:val="0031021C"/>
    <w:rsid w:val="00310227"/>
    <w:rsid w:val="0031075D"/>
    <w:rsid w:val="00310F6F"/>
    <w:rsid w:val="00311121"/>
    <w:rsid w:val="00311821"/>
    <w:rsid w:val="00312208"/>
    <w:rsid w:val="00313517"/>
    <w:rsid w:val="00313950"/>
    <w:rsid w:val="0031431F"/>
    <w:rsid w:val="00314833"/>
    <w:rsid w:val="00314D44"/>
    <w:rsid w:val="00314DEC"/>
    <w:rsid w:val="003156A7"/>
    <w:rsid w:val="0031613C"/>
    <w:rsid w:val="00316269"/>
    <w:rsid w:val="0031642A"/>
    <w:rsid w:val="00316D00"/>
    <w:rsid w:val="00317162"/>
    <w:rsid w:val="00317B10"/>
    <w:rsid w:val="00320387"/>
    <w:rsid w:val="003204E7"/>
    <w:rsid w:val="00320D99"/>
    <w:rsid w:val="00321F7F"/>
    <w:rsid w:val="00322AD8"/>
    <w:rsid w:val="00322C95"/>
    <w:rsid w:val="00323050"/>
    <w:rsid w:val="00323D3A"/>
    <w:rsid w:val="0032401B"/>
    <w:rsid w:val="0032402D"/>
    <w:rsid w:val="003245A4"/>
    <w:rsid w:val="003247EA"/>
    <w:rsid w:val="00324C56"/>
    <w:rsid w:val="00326142"/>
    <w:rsid w:val="00326AFD"/>
    <w:rsid w:val="00327739"/>
    <w:rsid w:val="003277B6"/>
    <w:rsid w:val="00327BA3"/>
    <w:rsid w:val="00330704"/>
    <w:rsid w:val="0033145A"/>
    <w:rsid w:val="00331A06"/>
    <w:rsid w:val="00331E4C"/>
    <w:rsid w:val="003321F5"/>
    <w:rsid w:val="003329EA"/>
    <w:rsid w:val="00332CBE"/>
    <w:rsid w:val="003335E5"/>
    <w:rsid w:val="0033375D"/>
    <w:rsid w:val="00333F6E"/>
    <w:rsid w:val="003342FE"/>
    <w:rsid w:val="00334445"/>
    <w:rsid w:val="0033610F"/>
    <w:rsid w:val="00336C0E"/>
    <w:rsid w:val="00336DCB"/>
    <w:rsid w:val="00336E1A"/>
    <w:rsid w:val="00337931"/>
    <w:rsid w:val="00337BC8"/>
    <w:rsid w:val="00340917"/>
    <w:rsid w:val="00340FC4"/>
    <w:rsid w:val="00341641"/>
    <w:rsid w:val="00342158"/>
    <w:rsid w:val="00342C2B"/>
    <w:rsid w:val="00342C71"/>
    <w:rsid w:val="00342F0B"/>
    <w:rsid w:val="00343137"/>
    <w:rsid w:val="00343929"/>
    <w:rsid w:val="00344133"/>
    <w:rsid w:val="00344256"/>
    <w:rsid w:val="0034439B"/>
    <w:rsid w:val="00344EEE"/>
    <w:rsid w:val="003450A3"/>
    <w:rsid w:val="003452F8"/>
    <w:rsid w:val="00345BF8"/>
    <w:rsid w:val="00345D88"/>
    <w:rsid w:val="003461C9"/>
    <w:rsid w:val="00346326"/>
    <w:rsid w:val="00346697"/>
    <w:rsid w:val="003466BC"/>
    <w:rsid w:val="00347298"/>
    <w:rsid w:val="00347620"/>
    <w:rsid w:val="0035005B"/>
    <w:rsid w:val="00350432"/>
    <w:rsid w:val="00350B76"/>
    <w:rsid w:val="00350BEB"/>
    <w:rsid w:val="00350C6F"/>
    <w:rsid w:val="00351E4B"/>
    <w:rsid w:val="0035277A"/>
    <w:rsid w:val="00352E46"/>
    <w:rsid w:val="003536B5"/>
    <w:rsid w:val="00354C93"/>
    <w:rsid w:val="00354DA3"/>
    <w:rsid w:val="0035548E"/>
    <w:rsid w:val="00355548"/>
    <w:rsid w:val="00355921"/>
    <w:rsid w:val="00355CCE"/>
    <w:rsid w:val="003579FB"/>
    <w:rsid w:val="0036068C"/>
    <w:rsid w:val="00361164"/>
    <w:rsid w:val="00361B85"/>
    <w:rsid w:val="00361CC4"/>
    <w:rsid w:val="00362169"/>
    <w:rsid w:val="0036278B"/>
    <w:rsid w:val="00362B13"/>
    <w:rsid w:val="00362E38"/>
    <w:rsid w:val="0036358E"/>
    <w:rsid w:val="00363C10"/>
    <w:rsid w:val="003658C8"/>
    <w:rsid w:val="003658EE"/>
    <w:rsid w:val="0036627B"/>
    <w:rsid w:val="00367FFC"/>
    <w:rsid w:val="00371969"/>
    <w:rsid w:val="0037199F"/>
    <w:rsid w:val="0037247E"/>
    <w:rsid w:val="0037250C"/>
    <w:rsid w:val="0037336B"/>
    <w:rsid w:val="003736BE"/>
    <w:rsid w:val="003738A6"/>
    <w:rsid w:val="00373A34"/>
    <w:rsid w:val="00373D97"/>
    <w:rsid w:val="00374FA4"/>
    <w:rsid w:val="0037589B"/>
    <w:rsid w:val="003769F9"/>
    <w:rsid w:val="00376E72"/>
    <w:rsid w:val="003774FB"/>
    <w:rsid w:val="00380D75"/>
    <w:rsid w:val="003813D9"/>
    <w:rsid w:val="00381D8A"/>
    <w:rsid w:val="00382265"/>
    <w:rsid w:val="003841C1"/>
    <w:rsid w:val="003843E5"/>
    <w:rsid w:val="00384F9B"/>
    <w:rsid w:val="0038521A"/>
    <w:rsid w:val="003852A5"/>
    <w:rsid w:val="00385EDA"/>
    <w:rsid w:val="00386261"/>
    <w:rsid w:val="00387F8D"/>
    <w:rsid w:val="0039036F"/>
    <w:rsid w:val="003904D5"/>
    <w:rsid w:val="0039076F"/>
    <w:rsid w:val="003907B9"/>
    <w:rsid w:val="00390A0C"/>
    <w:rsid w:val="00390C69"/>
    <w:rsid w:val="00391212"/>
    <w:rsid w:val="003918A2"/>
    <w:rsid w:val="003919AC"/>
    <w:rsid w:val="00391B00"/>
    <w:rsid w:val="003920E5"/>
    <w:rsid w:val="003921B3"/>
    <w:rsid w:val="00393047"/>
    <w:rsid w:val="0039421B"/>
    <w:rsid w:val="00394FCA"/>
    <w:rsid w:val="0039529C"/>
    <w:rsid w:val="003953EF"/>
    <w:rsid w:val="00395AA6"/>
    <w:rsid w:val="0039604A"/>
    <w:rsid w:val="003967A8"/>
    <w:rsid w:val="00397771"/>
    <w:rsid w:val="003978E6"/>
    <w:rsid w:val="003A0303"/>
    <w:rsid w:val="003A076E"/>
    <w:rsid w:val="003A0B8B"/>
    <w:rsid w:val="003A1026"/>
    <w:rsid w:val="003A17B8"/>
    <w:rsid w:val="003A1971"/>
    <w:rsid w:val="003A1F3F"/>
    <w:rsid w:val="003A23B9"/>
    <w:rsid w:val="003A33F7"/>
    <w:rsid w:val="003A3ECE"/>
    <w:rsid w:val="003A4245"/>
    <w:rsid w:val="003A4E6F"/>
    <w:rsid w:val="003A50E9"/>
    <w:rsid w:val="003A5106"/>
    <w:rsid w:val="003A59FA"/>
    <w:rsid w:val="003A5D77"/>
    <w:rsid w:val="003A6C67"/>
    <w:rsid w:val="003A71D4"/>
    <w:rsid w:val="003A764D"/>
    <w:rsid w:val="003B0A6A"/>
    <w:rsid w:val="003B12A8"/>
    <w:rsid w:val="003B178F"/>
    <w:rsid w:val="003B195F"/>
    <w:rsid w:val="003B1E9D"/>
    <w:rsid w:val="003B2504"/>
    <w:rsid w:val="003B2BD8"/>
    <w:rsid w:val="003B41C7"/>
    <w:rsid w:val="003B4322"/>
    <w:rsid w:val="003B508B"/>
    <w:rsid w:val="003B50F5"/>
    <w:rsid w:val="003B5D73"/>
    <w:rsid w:val="003B5EF2"/>
    <w:rsid w:val="003B6979"/>
    <w:rsid w:val="003C02FD"/>
    <w:rsid w:val="003C0BED"/>
    <w:rsid w:val="003C11DE"/>
    <w:rsid w:val="003C1415"/>
    <w:rsid w:val="003C1490"/>
    <w:rsid w:val="003C1CD8"/>
    <w:rsid w:val="003C2108"/>
    <w:rsid w:val="003C2BC3"/>
    <w:rsid w:val="003C2F17"/>
    <w:rsid w:val="003C333A"/>
    <w:rsid w:val="003C34E2"/>
    <w:rsid w:val="003C369C"/>
    <w:rsid w:val="003C3EE3"/>
    <w:rsid w:val="003C5CEE"/>
    <w:rsid w:val="003C5DD5"/>
    <w:rsid w:val="003C6905"/>
    <w:rsid w:val="003C7AC5"/>
    <w:rsid w:val="003D06CA"/>
    <w:rsid w:val="003D0C1F"/>
    <w:rsid w:val="003D14E0"/>
    <w:rsid w:val="003D1A1C"/>
    <w:rsid w:val="003D2627"/>
    <w:rsid w:val="003D29E3"/>
    <w:rsid w:val="003D2DE6"/>
    <w:rsid w:val="003D3934"/>
    <w:rsid w:val="003D3A3B"/>
    <w:rsid w:val="003D42DE"/>
    <w:rsid w:val="003D4AE0"/>
    <w:rsid w:val="003D4C8A"/>
    <w:rsid w:val="003D513A"/>
    <w:rsid w:val="003D561B"/>
    <w:rsid w:val="003D569B"/>
    <w:rsid w:val="003D58C5"/>
    <w:rsid w:val="003D58F7"/>
    <w:rsid w:val="003D59EB"/>
    <w:rsid w:val="003D5C6B"/>
    <w:rsid w:val="003D5E1A"/>
    <w:rsid w:val="003D613B"/>
    <w:rsid w:val="003D6E01"/>
    <w:rsid w:val="003D7AAA"/>
    <w:rsid w:val="003E00CF"/>
    <w:rsid w:val="003E1399"/>
    <w:rsid w:val="003E1F33"/>
    <w:rsid w:val="003E2F53"/>
    <w:rsid w:val="003E35B2"/>
    <w:rsid w:val="003E3C63"/>
    <w:rsid w:val="003E4B5B"/>
    <w:rsid w:val="003E5649"/>
    <w:rsid w:val="003E705C"/>
    <w:rsid w:val="003E7AD6"/>
    <w:rsid w:val="003F0813"/>
    <w:rsid w:val="003F0F44"/>
    <w:rsid w:val="003F0FBF"/>
    <w:rsid w:val="003F18A9"/>
    <w:rsid w:val="003F1C40"/>
    <w:rsid w:val="003F1DA6"/>
    <w:rsid w:val="003F250C"/>
    <w:rsid w:val="003F2A86"/>
    <w:rsid w:val="003F2AC8"/>
    <w:rsid w:val="003F2FE1"/>
    <w:rsid w:val="003F33F2"/>
    <w:rsid w:val="003F3B7B"/>
    <w:rsid w:val="003F43A4"/>
    <w:rsid w:val="003F4804"/>
    <w:rsid w:val="003F4CDB"/>
    <w:rsid w:val="003F4DDD"/>
    <w:rsid w:val="003F5723"/>
    <w:rsid w:val="003F5A01"/>
    <w:rsid w:val="003F6BDD"/>
    <w:rsid w:val="003F6EF3"/>
    <w:rsid w:val="003F7945"/>
    <w:rsid w:val="004009A6"/>
    <w:rsid w:val="00400E4E"/>
    <w:rsid w:val="004012D0"/>
    <w:rsid w:val="0040130C"/>
    <w:rsid w:val="00401E0F"/>
    <w:rsid w:val="004022CE"/>
    <w:rsid w:val="0040319E"/>
    <w:rsid w:val="0040375B"/>
    <w:rsid w:val="00403DFA"/>
    <w:rsid w:val="00403E56"/>
    <w:rsid w:val="0040471E"/>
    <w:rsid w:val="00404934"/>
    <w:rsid w:val="0040519B"/>
    <w:rsid w:val="00405B99"/>
    <w:rsid w:val="004061FD"/>
    <w:rsid w:val="00406529"/>
    <w:rsid w:val="004067AD"/>
    <w:rsid w:val="004075B3"/>
    <w:rsid w:val="00407E21"/>
    <w:rsid w:val="004107D8"/>
    <w:rsid w:val="00410ABB"/>
    <w:rsid w:val="00411442"/>
    <w:rsid w:val="00411847"/>
    <w:rsid w:val="00411D9F"/>
    <w:rsid w:val="00412084"/>
    <w:rsid w:val="00412BAA"/>
    <w:rsid w:val="00413C08"/>
    <w:rsid w:val="00414274"/>
    <w:rsid w:val="004143A0"/>
    <w:rsid w:val="004147F9"/>
    <w:rsid w:val="00415972"/>
    <w:rsid w:val="00416A0A"/>
    <w:rsid w:val="004177AA"/>
    <w:rsid w:val="004206B9"/>
    <w:rsid w:val="00420C7E"/>
    <w:rsid w:val="00421001"/>
    <w:rsid w:val="00421A77"/>
    <w:rsid w:val="00421C2F"/>
    <w:rsid w:val="0042293B"/>
    <w:rsid w:val="0042365D"/>
    <w:rsid w:val="00423FED"/>
    <w:rsid w:val="004249CD"/>
    <w:rsid w:val="00424FCC"/>
    <w:rsid w:val="00425EAB"/>
    <w:rsid w:val="004267B4"/>
    <w:rsid w:val="00426A72"/>
    <w:rsid w:val="00426A83"/>
    <w:rsid w:val="004277F8"/>
    <w:rsid w:val="0043096C"/>
    <w:rsid w:val="00430F28"/>
    <w:rsid w:val="00432246"/>
    <w:rsid w:val="00432D63"/>
    <w:rsid w:val="00432DBE"/>
    <w:rsid w:val="00432E7E"/>
    <w:rsid w:val="00433018"/>
    <w:rsid w:val="004333D5"/>
    <w:rsid w:val="004336B5"/>
    <w:rsid w:val="00433E76"/>
    <w:rsid w:val="00433F66"/>
    <w:rsid w:val="00434667"/>
    <w:rsid w:val="00434E84"/>
    <w:rsid w:val="00435075"/>
    <w:rsid w:val="004355F8"/>
    <w:rsid w:val="00436180"/>
    <w:rsid w:val="00436253"/>
    <w:rsid w:val="0043681C"/>
    <w:rsid w:val="00436F0D"/>
    <w:rsid w:val="00437E17"/>
    <w:rsid w:val="00437FED"/>
    <w:rsid w:val="00440173"/>
    <w:rsid w:val="00440BA2"/>
    <w:rsid w:val="00440FCA"/>
    <w:rsid w:val="004413B9"/>
    <w:rsid w:val="0044159E"/>
    <w:rsid w:val="00441B3C"/>
    <w:rsid w:val="00441C65"/>
    <w:rsid w:val="00442024"/>
    <w:rsid w:val="0044219E"/>
    <w:rsid w:val="00442ED1"/>
    <w:rsid w:val="004437D8"/>
    <w:rsid w:val="00443971"/>
    <w:rsid w:val="00443D68"/>
    <w:rsid w:val="00444337"/>
    <w:rsid w:val="00444853"/>
    <w:rsid w:val="00445810"/>
    <w:rsid w:val="004462E3"/>
    <w:rsid w:val="0044655F"/>
    <w:rsid w:val="004466D8"/>
    <w:rsid w:val="00446850"/>
    <w:rsid w:val="00446891"/>
    <w:rsid w:val="00446C74"/>
    <w:rsid w:val="00446E1E"/>
    <w:rsid w:val="00447D0A"/>
    <w:rsid w:val="0045000F"/>
    <w:rsid w:val="004507AB"/>
    <w:rsid w:val="00450E8A"/>
    <w:rsid w:val="00450FF8"/>
    <w:rsid w:val="00451C01"/>
    <w:rsid w:val="00452372"/>
    <w:rsid w:val="00452A4D"/>
    <w:rsid w:val="00453549"/>
    <w:rsid w:val="00453D27"/>
    <w:rsid w:val="00454506"/>
    <w:rsid w:val="00454C53"/>
    <w:rsid w:val="00454DC8"/>
    <w:rsid w:val="00455058"/>
    <w:rsid w:val="004553E3"/>
    <w:rsid w:val="004558CC"/>
    <w:rsid w:val="00455D7B"/>
    <w:rsid w:val="00455EB3"/>
    <w:rsid w:val="0045682D"/>
    <w:rsid w:val="00456920"/>
    <w:rsid w:val="00456E29"/>
    <w:rsid w:val="00456F3C"/>
    <w:rsid w:val="00457AA3"/>
    <w:rsid w:val="00460AB2"/>
    <w:rsid w:val="00460B64"/>
    <w:rsid w:val="00461DF3"/>
    <w:rsid w:val="0046203C"/>
    <w:rsid w:val="00462633"/>
    <w:rsid w:val="0046312E"/>
    <w:rsid w:val="00464C89"/>
    <w:rsid w:val="00465688"/>
    <w:rsid w:val="00466F1F"/>
    <w:rsid w:val="00467F74"/>
    <w:rsid w:val="00470634"/>
    <w:rsid w:val="004710C4"/>
    <w:rsid w:val="00471559"/>
    <w:rsid w:val="00471744"/>
    <w:rsid w:val="0047215E"/>
    <w:rsid w:val="0047247E"/>
    <w:rsid w:val="00472623"/>
    <w:rsid w:val="00472BB5"/>
    <w:rsid w:val="00472F07"/>
    <w:rsid w:val="004730CD"/>
    <w:rsid w:val="00473717"/>
    <w:rsid w:val="004741B7"/>
    <w:rsid w:val="0047421D"/>
    <w:rsid w:val="00475179"/>
    <w:rsid w:val="00475302"/>
    <w:rsid w:val="00475C11"/>
    <w:rsid w:val="00475C12"/>
    <w:rsid w:val="00476861"/>
    <w:rsid w:val="004771AB"/>
    <w:rsid w:val="0047772D"/>
    <w:rsid w:val="00480AE8"/>
    <w:rsid w:val="0048116E"/>
    <w:rsid w:val="00481291"/>
    <w:rsid w:val="0048160B"/>
    <w:rsid w:val="0048176E"/>
    <w:rsid w:val="004819A3"/>
    <w:rsid w:val="00481D8F"/>
    <w:rsid w:val="00482314"/>
    <w:rsid w:val="00482C6B"/>
    <w:rsid w:val="004837FA"/>
    <w:rsid w:val="00483D59"/>
    <w:rsid w:val="004841EA"/>
    <w:rsid w:val="004849D1"/>
    <w:rsid w:val="00484ABE"/>
    <w:rsid w:val="004855BD"/>
    <w:rsid w:val="004868F8"/>
    <w:rsid w:val="00487357"/>
    <w:rsid w:val="004874AA"/>
    <w:rsid w:val="00487662"/>
    <w:rsid w:val="00487B99"/>
    <w:rsid w:val="00487D11"/>
    <w:rsid w:val="004907F6"/>
    <w:rsid w:val="00490ED0"/>
    <w:rsid w:val="0049160F"/>
    <w:rsid w:val="00491825"/>
    <w:rsid w:val="00491CF1"/>
    <w:rsid w:val="00491D83"/>
    <w:rsid w:val="004920CF"/>
    <w:rsid w:val="00492116"/>
    <w:rsid w:val="00492783"/>
    <w:rsid w:val="0049350C"/>
    <w:rsid w:val="00493FC9"/>
    <w:rsid w:val="00494098"/>
    <w:rsid w:val="00494594"/>
    <w:rsid w:val="00494E65"/>
    <w:rsid w:val="00495768"/>
    <w:rsid w:val="00495CAF"/>
    <w:rsid w:val="0049628E"/>
    <w:rsid w:val="00496999"/>
    <w:rsid w:val="004971ED"/>
    <w:rsid w:val="00497314"/>
    <w:rsid w:val="004976B2"/>
    <w:rsid w:val="0049785F"/>
    <w:rsid w:val="004A0388"/>
    <w:rsid w:val="004A2198"/>
    <w:rsid w:val="004A3378"/>
    <w:rsid w:val="004A494E"/>
    <w:rsid w:val="004A4B80"/>
    <w:rsid w:val="004A4EF3"/>
    <w:rsid w:val="004A579E"/>
    <w:rsid w:val="004A6801"/>
    <w:rsid w:val="004A683F"/>
    <w:rsid w:val="004A6CA8"/>
    <w:rsid w:val="004A6F76"/>
    <w:rsid w:val="004A7BC0"/>
    <w:rsid w:val="004A7CF6"/>
    <w:rsid w:val="004B01F4"/>
    <w:rsid w:val="004B0B4E"/>
    <w:rsid w:val="004B0C76"/>
    <w:rsid w:val="004B0D3A"/>
    <w:rsid w:val="004B1957"/>
    <w:rsid w:val="004B1CC5"/>
    <w:rsid w:val="004B22A2"/>
    <w:rsid w:val="004B2534"/>
    <w:rsid w:val="004B2EE8"/>
    <w:rsid w:val="004B2F65"/>
    <w:rsid w:val="004B31EC"/>
    <w:rsid w:val="004B3D6D"/>
    <w:rsid w:val="004B4941"/>
    <w:rsid w:val="004B5165"/>
    <w:rsid w:val="004B57B6"/>
    <w:rsid w:val="004B57C3"/>
    <w:rsid w:val="004B5987"/>
    <w:rsid w:val="004B5F1C"/>
    <w:rsid w:val="004B5F44"/>
    <w:rsid w:val="004B62AD"/>
    <w:rsid w:val="004B6600"/>
    <w:rsid w:val="004B6AFE"/>
    <w:rsid w:val="004B7411"/>
    <w:rsid w:val="004B74DB"/>
    <w:rsid w:val="004C02D4"/>
    <w:rsid w:val="004C05B8"/>
    <w:rsid w:val="004C0658"/>
    <w:rsid w:val="004C0844"/>
    <w:rsid w:val="004C1133"/>
    <w:rsid w:val="004C1AE0"/>
    <w:rsid w:val="004C1D43"/>
    <w:rsid w:val="004C3102"/>
    <w:rsid w:val="004C4310"/>
    <w:rsid w:val="004C4495"/>
    <w:rsid w:val="004C4AC1"/>
    <w:rsid w:val="004C4DF2"/>
    <w:rsid w:val="004C5AF9"/>
    <w:rsid w:val="004C5E93"/>
    <w:rsid w:val="004C64BF"/>
    <w:rsid w:val="004C6CD3"/>
    <w:rsid w:val="004C7402"/>
    <w:rsid w:val="004D0501"/>
    <w:rsid w:val="004D0AB4"/>
    <w:rsid w:val="004D0DFE"/>
    <w:rsid w:val="004D13FA"/>
    <w:rsid w:val="004D1E35"/>
    <w:rsid w:val="004D1E5D"/>
    <w:rsid w:val="004D29AF"/>
    <w:rsid w:val="004D367A"/>
    <w:rsid w:val="004D37E8"/>
    <w:rsid w:val="004D3B2C"/>
    <w:rsid w:val="004D45F2"/>
    <w:rsid w:val="004D4BB9"/>
    <w:rsid w:val="004D4DD6"/>
    <w:rsid w:val="004D58B9"/>
    <w:rsid w:val="004D60F9"/>
    <w:rsid w:val="004D6324"/>
    <w:rsid w:val="004D6DE3"/>
    <w:rsid w:val="004D74B7"/>
    <w:rsid w:val="004E1207"/>
    <w:rsid w:val="004E13E0"/>
    <w:rsid w:val="004E187E"/>
    <w:rsid w:val="004E19F0"/>
    <w:rsid w:val="004E1AA3"/>
    <w:rsid w:val="004E224F"/>
    <w:rsid w:val="004E2497"/>
    <w:rsid w:val="004E2B1E"/>
    <w:rsid w:val="004E3044"/>
    <w:rsid w:val="004E3213"/>
    <w:rsid w:val="004E4931"/>
    <w:rsid w:val="004E4B8A"/>
    <w:rsid w:val="004E4C77"/>
    <w:rsid w:val="004E5D46"/>
    <w:rsid w:val="004E69CE"/>
    <w:rsid w:val="004E778D"/>
    <w:rsid w:val="004F0058"/>
    <w:rsid w:val="004F08DA"/>
    <w:rsid w:val="004F17E9"/>
    <w:rsid w:val="004F1BF3"/>
    <w:rsid w:val="004F2DAB"/>
    <w:rsid w:val="004F2E53"/>
    <w:rsid w:val="004F3168"/>
    <w:rsid w:val="004F393C"/>
    <w:rsid w:val="004F486F"/>
    <w:rsid w:val="004F4C48"/>
    <w:rsid w:val="004F5F51"/>
    <w:rsid w:val="004F60F4"/>
    <w:rsid w:val="004F6188"/>
    <w:rsid w:val="004F6B72"/>
    <w:rsid w:val="004F7389"/>
    <w:rsid w:val="004F7661"/>
    <w:rsid w:val="004F77B1"/>
    <w:rsid w:val="004F7B62"/>
    <w:rsid w:val="004F7E51"/>
    <w:rsid w:val="005001BF"/>
    <w:rsid w:val="00500E24"/>
    <w:rsid w:val="00501FED"/>
    <w:rsid w:val="005022C0"/>
    <w:rsid w:val="00502FA1"/>
    <w:rsid w:val="00503339"/>
    <w:rsid w:val="005058B8"/>
    <w:rsid w:val="0050620A"/>
    <w:rsid w:val="00506700"/>
    <w:rsid w:val="005072E9"/>
    <w:rsid w:val="005078C4"/>
    <w:rsid w:val="00507DFB"/>
    <w:rsid w:val="00511BAB"/>
    <w:rsid w:val="00512670"/>
    <w:rsid w:val="00512F55"/>
    <w:rsid w:val="0051315E"/>
    <w:rsid w:val="00514148"/>
    <w:rsid w:val="005142CB"/>
    <w:rsid w:val="0051486E"/>
    <w:rsid w:val="00514A72"/>
    <w:rsid w:val="005158D2"/>
    <w:rsid w:val="005158F8"/>
    <w:rsid w:val="00515A0D"/>
    <w:rsid w:val="005161C2"/>
    <w:rsid w:val="005165D1"/>
    <w:rsid w:val="00516E59"/>
    <w:rsid w:val="00517398"/>
    <w:rsid w:val="0051765B"/>
    <w:rsid w:val="0051779B"/>
    <w:rsid w:val="00517F67"/>
    <w:rsid w:val="005213E5"/>
    <w:rsid w:val="00522284"/>
    <w:rsid w:val="005223DB"/>
    <w:rsid w:val="005225B1"/>
    <w:rsid w:val="005227BE"/>
    <w:rsid w:val="00522FE9"/>
    <w:rsid w:val="00523644"/>
    <w:rsid w:val="0052413F"/>
    <w:rsid w:val="00524607"/>
    <w:rsid w:val="00524DC3"/>
    <w:rsid w:val="005250F6"/>
    <w:rsid w:val="00525552"/>
    <w:rsid w:val="00525ADB"/>
    <w:rsid w:val="00525B34"/>
    <w:rsid w:val="0052643E"/>
    <w:rsid w:val="00526642"/>
    <w:rsid w:val="005268D0"/>
    <w:rsid w:val="00526ABC"/>
    <w:rsid w:val="005273DC"/>
    <w:rsid w:val="00527997"/>
    <w:rsid w:val="00531804"/>
    <w:rsid w:val="005328AB"/>
    <w:rsid w:val="00532B27"/>
    <w:rsid w:val="00533136"/>
    <w:rsid w:val="00533C8E"/>
    <w:rsid w:val="0053479D"/>
    <w:rsid w:val="00534D37"/>
    <w:rsid w:val="005351BA"/>
    <w:rsid w:val="00535587"/>
    <w:rsid w:val="00535780"/>
    <w:rsid w:val="005357E1"/>
    <w:rsid w:val="00535B5D"/>
    <w:rsid w:val="00536294"/>
    <w:rsid w:val="0053667D"/>
    <w:rsid w:val="005367B0"/>
    <w:rsid w:val="00536C97"/>
    <w:rsid w:val="00536FF2"/>
    <w:rsid w:val="00537723"/>
    <w:rsid w:val="005378FB"/>
    <w:rsid w:val="00537B15"/>
    <w:rsid w:val="00537C1C"/>
    <w:rsid w:val="00540749"/>
    <w:rsid w:val="005410A3"/>
    <w:rsid w:val="0054143D"/>
    <w:rsid w:val="00541476"/>
    <w:rsid w:val="00542D36"/>
    <w:rsid w:val="00543A2F"/>
    <w:rsid w:val="00544153"/>
    <w:rsid w:val="00544922"/>
    <w:rsid w:val="00545328"/>
    <w:rsid w:val="0054595E"/>
    <w:rsid w:val="00546051"/>
    <w:rsid w:val="005465C5"/>
    <w:rsid w:val="0054735A"/>
    <w:rsid w:val="0054751D"/>
    <w:rsid w:val="005477BC"/>
    <w:rsid w:val="00547C33"/>
    <w:rsid w:val="00547F2B"/>
    <w:rsid w:val="0055042A"/>
    <w:rsid w:val="00550F09"/>
    <w:rsid w:val="0055143F"/>
    <w:rsid w:val="00551CFD"/>
    <w:rsid w:val="00552D58"/>
    <w:rsid w:val="00552FD3"/>
    <w:rsid w:val="00553CAF"/>
    <w:rsid w:val="00554628"/>
    <w:rsid w:val="005546C9"/>
    <w:rsid w:val="00554940"/>
    <w:rsid w:val="00554943"/>
    <w:rsid w:val="00554B7B"/>
    <w:rsid w:val="00554F94"/>
    <w:rsid w:val="00554FDF"/>
    <w:rsid w:val="0055603A"/>
    <w:rsid w:val="005562B5"/>
    <w:rsid w:val="005567E9"/>
    <w:rsid w:val="00556C37"/>
    <w:rsid w:val="0056115B"/>
    <w:rsid w:val="00561988"/>
    <w:rsid w:val="00561A19"/>
    <w:rsid w:val="00561C05"/>
    <w:rsid w:val="00561C69"/>
    <w:rsid w:val="005629F6"/>
    <w:rsid w:val="00562CEF"/>
    <w:rsid w:val="00564186"/>
    <w:rsid w:val="00564793"/>
    <w:rsid w:val="005649CD"/>
    <w:rsid w:val="0056539C"/>
    <w:rsid w:val="00565746"/>
    <w:rsid w:val="00565C7B"/>
    <w:rsid w:val="005662CA"/>
    <w:rsid w:val="00566B63"/>
    <w:rsid w:val="00567003"/>
    <w:rsid w:val="00567053"/>
    <w:rsid w:val="005670DA"/>
    <w:rsid w:val="00567C8F"/>
    <w:rsid w:val="00570B7A"/>
    <w:rsid w:val="00571399"/>
    <w:rsid w:val="00571B30"/>
    <w:rsid w:val="00571EC4"/>
    <w:rsid w:val="00572BF6"/>
    <w:rsid w:val="00572E01"/>
    <w:rsid w:val="005731BA"/>
    <w:rsid w:val="0057325F"/>
    <w:rsid w:val="0057384C"/>
    <w:rsid w:val="005739B0"/>
    <w:rsid w:val="00573CBC"/>
    <w:rsid w:val="00574013"/>
    <w:rsid w:val="00574D90"/>
    <w:rsid w:val="00575AF7"/>
    <w:rsid w:val="00575B41"/>
    <w:rsid w:val="0057692C"/>
    <w:rsid w:val="00576C30"/>
    <w:rsid w:val="00576EF9"/>
    <w:rsid w:val="00577458"/>
    <w:rsid w:val="00577529"/>
    <w:rsid w:val="00577655"/>
    <w:rsid w:val="0057775A"/>
    <w:rsid w:val="00577D7B"/>
    <w:rsid w:val="00581320"/>
    <w:rsid w:val="0058188E"/>
    <w:rsid w:val="00581A4A"/>
    <w:rsid w:val="00581C36"/>
    <w:rsid w:val="0058297E"/>
    <w:rsid w:val="00582A48"/>
    <w:rsid w:val="00582C1C"/>
    <w:rsid w:val="00583048"/>
    <w:rsid w:val="00583EE9"/>
    <w:rsid w:val="00583F6C"/>
    <w:rsid w:val="00583FCF"/>
    <w:rsid w:val="00584631"/>
    <w:rsid w:val="00584B83"/>
    <w:rsid w:val="00585197"/>
    <w:rsid w:val="0058585D"/>
    <w:rsid w:val="005858EF"/>
    <w:rsid w:val="0058590E"/>
    <w:rsid w:val="005859F9"/>
    <w:rsid w:val="00585CC3"/>
    <w:rsid w:val="00586A49"/>
    <w:rsid w:val="0058799E"/>
    <w:rsid w:val="00587C5B"/>
    <w:rsid w:val="00587C7D"/>
    <w:rsid w:val="00587E26"/>
    <w:rsid w:val="00591356"/>
    <w:rsid w:val="00591D2B"/>
    <w:rsid w:val="00591E01"/>
    <w:rsid w:val="005925A5"/>
    <w:rsid w:val="00592DE2"/>
    <w:rsid w:val="00593A82"/>
    <w:rsid w:val="00593ABF"/>
    <w:rsid w:val="00593BF9"/>
    <w:rsid w:val="00593C1B"/>
    <w:rsid w:val="00593F73"/>
    <w:rsid w:val="005944BE"/>
    <w:rsid w:val="00594AAE"/>
    <w:rsid w:val="00594C5B"/>
    <w:rsid w:val="005952F7"/>
    <w:rsid w:val="0059551E"/>
    <w:rsid w:val="00595964"/>
    <w:rsid w:val="00596230"/>
    <w:rsid w:val="005965AA"/>
    <w:rsid w:val="0059671B"/>
    <w:rsid w:val="00596A46"/>
    <w:rsid w:val="00597B16"/>
    <w:rsid w:val="005A0147"/>
    <w:rsid w:val="005A0599"/>
    <w:rsid w:val="005A0B94"/>
    <w:rsid w:val="005A1462"/>
    <w:rsid w:val="005A2863"/>
    <w:rsid w:val="005A2C71"/>
    <w:rsid w:val="005A3660"/>
    <w:rsid w:val="005A3951"/>
    <w:rsid w:val="005A3B09"/>
    <w:rsid w:val="005A5BDD"/>
    <w:rsid w:val="005A5FC8"/>
    <w:rsid w:val="005A6501"/>
    <w:rsid w:val="005A7679"/>
    <w:rsid w:val="005A79F0"/>
    <w:rsid w:val="005B0115"/>
    <w:rsid w:val="005B0624"/>
    <w:rsid w:val="005B1686"/>
    <w:rsid w:val="005B16FB"/>
    <w:rsid w:val="005B195A"/>
    <w:rsid w:val="005B26D4"/>
    <w:rsid w:val="005B3419"/>
    <w:rsid w:val="005B3491"/>
    <w:rsid w:val="005B3CF2"/>
    <w:rsid w:val="005B3E3F"/>
    <w:rsid w:val="005B5531"/>
    <w:rsid w:val="005B6B22"/>
    <w:rsid w:val="005B6EA9"/>
    <w:rsid w:val="005B7DEA"/>
    <w:rsid w:val="005B7F24"/>
    <w:rsid w:val="005C00B0"/>
    <w:rsid w:val="005C09E3"/>
    <w:rsid w:val="005C0F6B"/>
    <w:rsid w:val="005C186D"/>
    <w:rsid w:val="005C1E32"/>
    <w:rsid w:val="005C1F9D"/>
    <w:rsid w:val="005C3040"/>
    <w:rsid w:val="005C33E1"/>
    <w:rsid w:val="005C3597"/>
    <w:rsid w:val="005C46CE"/>
    <w:rsid w:val="005C511D"/>
    <w:rsid w:val="005C54AD"/>
    <w:rsid w:val="005C59E3"/>
    <w:rsid w:val="005C5BC1"/>
    <w:rsid w:val="005C6584"/>
    <w:rsid w:val="005C68EF"/>
    <w:rsid w:val="005C7060"/>
    <w:rsid w:val="005C71F4"/>
    <w:rsid w:val="005C7277"/>
    <w:rsid w:val="005C73C1"/>
    <w:rsid w:val="005C78CF"/>
    <w:rsid w:val="005C7DCB"/>
    <w:rsid w:val="005D07EA"/>
    <w:rsid w:val="005D1BC4"/>
    <w:rsid w:val="005D1D9E"/>
    <w:rsid w:val="005D22F9"/>
    <w:rsid w:val="005D30A0"/>
    <w:rsid w:val="005D328B"/>
    <w:rsid w:val="005D3B71"/>
    <w:rsid w:val="005D3DB9"/>
    <w:rsid w:val="005D58EE"/>
    <w:rsid w:val="005D5C1D"/>
    <w:rsid w:val="005D6819"/>
    <w:rsid w:val="005D773A"/>
    <w:rsid w:val="005E006B"/>
    <w:rsid w:val="005E10F7"/>
    <w:rsid w:val="005E2343"/>
    <w:rsid w:val="005E280E"/>
    <w:rsid w:val="005E295A"/>
    <w:rsid w:val="005E369A"/>
    <w:rsid w:val="005E4339"/>
    <w:rsid w:val="005E4F3E"/>
    <w:rsid w:val="005E5513"/>
    <w:rsid w:val="005E6113"/>
    <w:rsid w:val="005F0011"/>
    <w:rsid w:val="005F043C"/>
    <w:rsid w:val="005F0D91"/>
    <w:rsid w:val="005F1A69"/>
    <w:rsid w:val="005F1A7D"/>
    <w:rsid w:val="005F1EF9"/>
    <w:rsid w:val="005F2B28"/>
    <w:rsid w:val="005F2E8E"/>
    <w:rsid w:val="005F3555"/>
    <w:rsid w:val="005F3FB6"/>
    <w:rsid w:val="005F3FCF"/>
    <w:rsid w:val="005F4AF9"/>
    <w:rsid w:val="005F4D1D"/>
    <w:rsid w:val="005F57DC"/>
    <w:rsid w:val="005F57EB"/>
    <w:rsid w:val="005F587C"/>
    <w:rsid w:val="005F5A96"/>
    <w:rsid w:val="005F6385"/>
    <w:rsid w:val="00600E8C"/>
    <w:rsid w:val="00601853"/>
    <w:rsid w:val="0060274F"/>
    <w:rsid w:val="00603A3A"/>
    <w:rsid w:val="00604491"/>
    <w:rsid w:val="00604D52"/>
    <w:rsid w:val="00606FFA"/>
    <w:rsid w:val="006076CC"/>
    <w:rsid w:val="00607AA3"/>
    <w:rsid w:val="00610227"/>
    <w:rsid w:val="00611A9D"/>
    <w:rsid w:val="00611CF3"/>
    <w:rsid w:val="00612036"/>
    <w:rsid w:val="006122C8"/>
    <w:rsid w:val="00612F72"/>
    <w:rsid w:val="00613FDA"/>
    <w:rsid w:val="00614287"/>
    <w:rsid w:val="006146CF"/>
    <w:rsid w:val="00614D67"/>
    <w:rsid w:val="006151EF"/>
    <w:rsid w:val="00615506"/>
    <w:rsid w:val="006155C8"/>
    <w:rsid w:val="00615735"/>
    <w:rsid w:val="0061576D"/>
    <w:rsid w:val="00615889"/>
    <w:rsid w:val="00617076"/>
    <w:rsid w:val="006170A4"/>
    <w:rsid w:val="00617CBC"/>
    <w:rsid w:val="00617DE9"/>
    <w:rsid w:val="00620349"/>
    <w:rsid w:val="00620949"/>
    <w:rsid w:val="00620ABE"/>
    <w:rsid w:val="00621F23"/>
    <w:rsid w:val="00623871"/>
    <w:rsid w:val="00624363"/>
    <w:rsid w:val="00624CB9"/>
    <w:rsid w:val="00624CD7"/>
    <w:rsid w:val="0062545A"/>
    <w:rsid w:val="0062601A"/>
    <w:rsid w:val="00627512"/>
    <w:rsid w:val="00627696"/>
    <w:rsid w:val="00627EB8"/>
    <w:rsid w:val="006307F8"/>
    <w:rsid w:val="00632955"/>
    <w:rsid w:val="00633447"/>
    <w:rsid w:val="00633484"/>
    <w:rsid w:val="00633CB7"/>
    <w:rsid w:val="00634514"/>
    <w:rsid w:val="00634626"/>
    <w:rsid w:val="006359BF"/>
    <w:rsid w:val="00635CEA"/>
    <w:rsid w:val="00636527"/>
    <w:rsid w:val="00636A97"/>
    <w:rsid w:val="00636AF3"/>
    <w:rsid w:val="00637221"/>
    <w:rsid w:val="006375F1"/>
    <w:rsid w:val="0063796F"/>
    <w:rsid w:val="00637A37"/>
    <w:rsid w:val="00640CDE"/>
    <w:rsid w:val="0064131A"/>
    <w:rsid w:val="006422DD"/>
    <w:rsid w:val="00644362"/>
    <w:rsid w:val="00644532"/>
    <w:rsid w:val="00644E78"/>
    <w:rsid w:val="006453FB"/>
    <w:rsid w:val="006468FB"/>
    <w:rsid w:val="00646CD3"/>
    <w:rsid w:val="00646EDD"/>
    <w:rsid w:val="006477DA"/>
    <w:rsid w:val="006479D1"/>
    <w:rsid w:val="00647B27"/>
    <w:rsid w:val="00647CEC"/>
    <w:rsid w:val="00650113"/>
    <w:rsid w:val="0065012C"/>
    <w:rsid w:val="00650E72"/>
    <w:rsid w:val="00650F2C"/>
    <w:rsid w:val="00651978"/>
    <w:rsid w:val="006529FE"/>
    <w:rsid w:val="00652AD7"/>
    <w:rsid w:val="00652FC5"/>
    <w:rsid w:val="00654327"/>
    <w:rsid w:val="00654502"/>
    <w:rsid w:val="0065473A"/>
    <w:rsid w:val="00654C89"/>
    <w:rsid w:val="0065586C"/>
    <w:rsid w:val="006560D1"/>
    <w:rsid w:val="00656252"/>
    <w:rsid w:val="00660284"/>
    <w:rsid w:val="00662655"/>
    <w:rsid w:val="006627AD"/>
    <w:rsid w:val="00662DFA"/>
    <w:rsid w:val="00663016"/>
    <w:rsid w:val="006635AC"/>
    <w:rsid w:val="006650D8"/>
    <w:rsid w:val="006657D8"/>
    <w:rsid w:val="00665F1D"/>
    <w:rsid w:val="00666135"/>
    <w:rsid w:val="00666398"/>
    <w:rsid w:val="0066695D"/>
    <w:rsid w:val="006701F1"/>
    <w:rsid w:val="00670CCE"/>
    <w:rsid w:val="00671EBD"/>
    <w:rsid w:val="006721EB"/>
    <w:rsid w:val="00672665"/>
    <w:rsid w:val="00672EFF"/>
    <w:rsid w:val="0067349C"/>
    <w:rsid w:val="00674C9E"/>
    <w:rsid w:val="006756FB"/>
    <w:rsid w:val="00675A81"/>
    <w:rsid w:val="00675C77"/>
    <w:rsid w:val="00675F4B"/>
    <w:rsid w:val="00676059"/>
    <w:rsid w:val="0067618B"/>
    <w:rsid w:val="0067620B"/>
    <w:rsid w:val="00676292"/>
    <w:rsid w:val="00676A29"/>
    <w:rsid w:val="00676A3E"/>
    <w:rsid w:val="00676EDF"/>
    <w:rsid w:val="00677253"/>
    <w:rsid w:val="0067759C"/>
    <w:rsid w:val="00677A7E"/>
    <w:rsid w:val="00680331"/>
    <w:rsid w:val="00680D63"/>
    <w:rsid w:val="00680D98"/>
    <w:rsid w:val="0068123B"/>
    <w:rsid w:val="006816F0"/>
    <w:rsid w:val="006818F2"/>
    <w:rsid w:val="00682926"/>
    <w:rsid w:val="00683193"/>
    <w:rsid w:val="0068323C"/>
    <w:rsid w:val="006841CB"/>
    <w:rsid w:val="00684B69"/>
    <w:rsid w:val="00684DCE"/>
    <w:rsid w:val="00685213"/>
    <w:rsid w:val="00686383"/>
    <w:rsid w:val="006864C8"/>
    <w:rsid w:val="00686928"/>
    <w:rsid w:val="00686D28"/>
    <w:rsid w:val="00686E2A"/>
    <w:rsid w:val="0068743E"/>
    <w:rsid w:val="0068765A"/>
    <w:rsid w:val="006903C0"/>
    <w:rsid w:val="00691439"/>
    <w:rsid w:val="00691AD2"/>
    <w:rsid w:val="00691D9F"/>
    <w:rsid w:val="00692824"/>
    <w:rsid w:val="00692D8B"/>
    <w:rsid w:val="00694CB0"/>
    <w:rsid w:val="00694D29"/>
    <w:rsid w:val="00694D96"/>
    <w:rsid w:val="00695004"/>
    <w:rsid w:val="0069558D"/>
    <w:rsid w:val="00695A06"/>
    <w:rsid w:val="00695AEA"/>
    <w:rsid w:val="00695CCB"/>
    <w:rsid w:val="00695EF5"/>
    <w:rsid w:val="00695F39"/>
    <w:rsid w:val="00696178"/>
    <w:rsid w:val="00696BC5"/>
    <w:rsid w:val="006979CA"/>
    <w:rsid w:val="00697F55"/>
    <w:rsid w:val="006A0545"/>
    <w:rsid w:val="006A0730"/>
    <w:rsid w:val="006A0C0B"/>
    <w:rsid w:val="006A106A"/>
    <w:rsid w:val="006A3141"/>
    <w:rsid w:val="006A336E"/>
    <w:rsid w:val="006A3B63"/>
    <w:rsid w:val="006A4156"/>
    <w:rsid w:val="006A433C"/>
    <w:rsid w:val="006A4415"/>
    <w:rsid w:val="006A51C0"/>
    <w:rsid w:val="006A54FA"/>
    <w:rsid w:val="006A561E"/>
    <w:rsid w:val="006A59F7"/>
    <w:rsid w:val="006A5DB0"/>
    <w:rsid w:val="006A6230"/>
    <w:rsid w:val="006A6496"/>
    <w:rsid w:val="006A7373"/>
    <w:rsid w:val="006B1812"/>
    <w:rsid w:val="006B1A17"/>
    <w:rsid w:val="006B1E98"/>
    <w:rsid w:val="006B28EE"/>
    <w:rsid w:val="006B2C0B"/>
    <w:rsid w:val="006B2DE7"/>
    <w:rsid w:val="006B384B"/>
    <w:rsid w:val="006B41D1"/>
    <w:rsid w:val="006B45BE"/>
    <w:rsid w:val="006B46DB"/>
    <w:rsid w:val="006B48B3"/>
    <w:rsid w:val="006B4B05"/>
    <w:rsid w:val="006B4E09"/>
    <w:rsid w:val="006B607B"/>
    <w:rsid w:val="006B6C4C"/>
    <w:rsid w:val="006B6E09"/>
    <w:rsid w:val="006B71E2"/>
    <w:rsid w:val="006B72F3"/>
    <w:rsid w:val="006B7394"/>
    <w:rsid w:val="006B7793"/>
    <w:rsid w:val="006B7987"/>
    <w:rsid w:val="006C0C02"/>
    <w:rsid w:val="006C0C45"/>
    <w:rsid w:val="006C0EE0"/>
    <w:rsid w:val="006C129D"/>
    <w:rsid w:val="006C1F61"/>
    <w:rsid w:val="006C2135"/>
    <w:rsid w:val="006C21A7"/>
    <w:rsid w:val="006C2339"/>
    <w:rsid w:val="006C26EA"/>
    <w:rsid w:val="006C3E22"/>
    <w:rsid w:val="006C43BA"/>
    <w:rsid w:val="006C4608"/>
    <w:rsid w:val="006C514E"/>
    <w:rsid w:val="006C5946"/>
    <w:rsid w:val="006C5AFB"/>
    <w:rsid w:val="006C5C8C"/>
    <w:rsid w:val="006C5CFD"/>
    <w:rsid w:val="006C69E8"/>
    <w:rsid w:val="006D1413"/>
    <w:rsid w:val="006D17CB"/>
    <w:rsid w:val="006D2313"/>
    <w:rsid w:val="006D23C8"/>
    <w:rsid w:val="006D2925"/>
    <w:rsid w:val="006D382D"/>
    <w:rsid w:val="006D3AD0"/>
    <w:rsid w:val="006D3CD1"/>
    <w:rsid w:val="006D3D60"/>
    <w:rsid w:val="006D4829"/>
    <w:rsid w:val="006D490E"/>
    <w:rsid w:val="006D4D79"/>
    <w:rsid w:val="006D54E2"/>
    <w:rsid w:val="006D6F38"/>
    <w:rsid w:val="006D7AB9"/>
    <w:rsid w:val="006E0F9E"/>
    <w:rsid w:val="006E1480"/>
    <w:rsid w:val="006E153E"/>
    <w:rsid w:val="006E18DA"/>
    <w:rsid w:val="006E1D50"/>
    <w:rsid w:val="006E1EDB"/>
    <w:rsid w:val="006E3490"/>
    <w:rsid w:val="006E39DF"/>
    <w:rsid w:val="006E3B36"/>
    <w:rsid w:val="006E3D8B"/>
    <w:rsid w:val="006E3F59"/>
    <w:rsid w:val="006E4B65"/>
    <w:rsid w:val="006E58FF"/>
    <w:rsid w:val="006E5939"/>
    <w:rsid w:val="006E593B"/>
    <w:rsid w:val="006E5AC2"/>
    <w:rsid w:val="006E5B4C"/>
    <w:rsid w:val="006E6B20"/>
    <w:rsid w:val="006E732D"/>
    <w:rsid w:val="006E7505"/>
    <w:rsid w:val="006F0B3C"/>
    <w:rsid w:val="006F1865"/>
    <w:rsid w:val="006F1A4B"/>
    <w:rsid w:val="006F1B18"/>
    <w:rsid w:val="006F1EC8"/>
    <w:rsid w:val="006F206F"/>
    <w:rsid w:val="006F26E6"/>
    <w:rsid w:val="006F2A59"/>
    <w:rsid w:val="006F2C69"/>
    <w:rsid w:val="006F2F84"/>
    <w:rsid w:val="006F2FE5"/>
    <w:rsid w:val="006F3EBB"/>
    <w:rsid w:val="006F3F15"/>
    <w:rsid w:val="006F42F1"/>
    <w:rsid w:val="006F546C"/>
    <w:rsid w:val="00700464"/>
    <w:rsid w:val="0070090A"/>
    <w:rsid w:val="00700EC1"/>
    <w:rsid w:val="00700FD4"/>
    <w:rsid w:val="00701785"/>
    <w:rsid w:val="00701A76"/>
    <w:rsid w:val="00701CB4"/>
    <w:rsid w:val="00702869"/>
    <w:rsid w:val="007028CA"/>
    <w:rsid w:val="00703295"/>
    <w:rsid w:val="007032BE"/>
    <w:rsid w:val="00703540"/>
    <w:rsid w:val="0070367E"/>
    <w:rsid w:val="00703BE4"/>
    <w:rsid w:val="00704DFE"/>
    <w:rsid w:val="00704F8D"/>
    <w:rsid w:val="0070592D"/>
    <w:rsid w:val="00705F83"/>
    <w:rsid w:val="0070622D"/>
    <w:rsid w:val="007067AB"/>
    <w:rsid w:val="00707A7E"/>
    <w:rsid w:val="0071028E"/>
    <w:rsid w:val="00710339"/>
    <w:rsid w:val="00711559"/>
    <w:rsid w:val="00712D9B"/>
    <w:rsid w:val="00713787"/>
    <w:rsid w:val="00714133"/>
    <w:rsid w:val="007153BD"/>
    <w:rsid w:val="00715469"/>
    <w:rsid w:val="00715470"/>
    <w:rsid w:val="007158B3"/>
    <w:rsid w:val="00715B18"/>
    <w:rsid w:val="00716494"/>
    <w:rsid w:val="00716F9D"/>
    <w:rsid w:val="00717329"/>
    <w:rsid w:val="00717430"/>
    <w:rsid w:val="007176D7"/>
    <w:rsid w:val="00717930"/>
    <w:rsid w:val="00720B1C"/>
    <w:rsid w:val="00720B2D"/>
    <w:rsid w:val="00720F0C"/>
    <w:rsid w:val="0072143A"/>
    <w:rsid w:val="007219E9"/>
    <w:rsid w:val="00721F21"/>
    <w:rsid w:val="007221ED"/>
    <w:rsid w:val="007223AC"/>
    <w:rsid w:val="0072284B"/>
    <w:rsid w:val="00723872"/>
    <w:rsid w:val="00723B8A"/>
    <w:rsid w:val="00723CBB"/>
    <w:rsid w:val="0072447D"/>
    <w:rsid w:val="00724584"/>
    <w:rsid w:val="00725854"/>
    <w:rsid w:val="0072626D"/>
    <w:rsid w:val="00726F62"/>
    <w:rsid w:val="00727590"/>
    <w:rsid w:val="00730CD5"/>
    <w:rsid w:val="007314F2"/>
    <w:rsid w:val="00731BF2"/>
    <w:rsid w:val="00731E0C"/>
    <w:rsid w:val="00731F8F"/>
    <w:rsid w:val="00732847"/>
    <w:rsid w:val="00732B60"/>
    <w:rsid w:val="00732C36"/>
    <w:rsid w:val="00733046"/>
    <w:rsid w:val="007337AA"/>
    <w:rsid w:val="00733BFE"/>
    <w:rsid w:val="00733F3B"/>
    <w:rsid w:val="00734CAF"/>
    <w:rsid w:val="00735232"/>
    <w:rsid w:val="007361DF"/>
    <w:rsid w:val="00736219"/>
    <w:rsid w:val="00736FAE"/>
    <w:rsid w:val="00737017"/>
    <w:rsid w:val="00737590"/>
    <w:rsid w:val="00740113"/>
    <w:rsid w:val="007414B9"/>
    <w:rsid w:val="00741618"/>
    <w:rsid w:val="00741CEE"/>
    <w:rsid w:val="007424E9"/>
    <w:rsid w:val="00743651"/>
    <w:rsid w:val="007436AB"/>
    <w:rsid w:val="00743A4A"/>
    <w:rsid w:val="00743E5A"/>
    <w:rsid w:val="00744663"/>
    <w:rsid w:val="00744BCE"/>
    <w:rsid w:val="00744DFC"/>
    <w:rsid w:val="00744E6E"/>
    <w:rsid w:val="00745770"/>
    <w:rsid w:val="0074577E"/>
    <w:rsid w:val="00745AE4"/>
    <w:rsid w:val="0074650C"/>
    <w:rsid w:val="00746F26"/>
    <w:rsid w:val="00747E37"/>
    <w:rsid w:val="00750352"/>
    <w:rsid w:val="00750D35"/>
    <w:rsid w:val="00751178"/>
    <w:rsid w:val="007518F8"/>
    <w:rsid w:val="00751E22"/>
    <w:rsid w:val="00752FB8"/>
    <w:rsid w:val="0075329F"/>
    <w:rsid w:val="007543F2"/>
    <w:rsid w:val="00754E94"/>
    <w:rsid w:val="00754ECB"/>
    <w:rsid w:val="0075532F"/>
    <w:rsid w:val="00755805"/>
    <w:rsid w:val="0075592F"/>
    <w:rsid w:val="0075612A"/>
    <w:rsid w:val="0075624D"/>
    <w:rsid w:val="00756494"/>
    <w:rsid w:val="007565A0"/>
    <w:rsid w:val="0075673F"/>
    <w:rsid w:val="00756ED8"/>
    <w:rsid w:val="0075756C"/>
    <w:rsid w:val="00757AB7"/>
    <w:rsid w:val="0076007A"/>
    <w:rsid w:val="0076055D"/>
    <w:rsid w:val="0076168B"/>
    <w:rsid w:val="0076199C"/>
    <w:rsid w:val="00761B73"/>
    <w:rsid w:val="00761DE8"/>
    <w:rsid w:val="00761E69"/>
    <w:rsid w:val="00762886"/>
    <w:rsid w:val="00762AE7"/>
    <w:rsid w:val="00764555"/>
    <w:rsid w:val="007646A1"/>
    <w:rsid w:val="007665BC"/>
    <w:rsid w:val="00766F51"/>
    <w:rsid w:val="00766F62"/>
    <w:rsid w:val="00766FD1"/>
    <w:rsid w:val="007678D3"/>
    <w:rsid w:val="00767FE8"/>
    <w:rsid w:val="007714EB"/>
    <w:rsid w:val="00771E3C"/>
    <w:rsid w:val="007723CE"/>
    <w:rsid w:val="007723E9"/>
    <w:rsid w:val="00773B78"/>
    <w:rsid w:val="007749AF"/>
    <w:rsid w:val="007767FA"/>
    <w:rsid w:val="00776E3B"/>
    <w:rsid w:val="00777B2B"/>
    <w:rsid w:val="00777F26"/>
    <w:rsid w:val="00780429"/>
    <w:rsid w:val="00780EFD"/>
    <w:rsid w:val="00781B2C"/>
    <w:rsid w:val="00781D94"/>
    <w:rsid w:val="0078227B"/>
    <w:rsid w:val="00782C0F"/>
    <w:rsid w:val="00782F48"/>
    <w:rsid w:val="00783702"/>
    <w:rsid w:val="00783D9A"/>
    <w:rsid w:val="007842D5"/>
    <w:rsid w:val="00784845"/>
    <w:rsid w:val="00785515"/>
    <w:rsid w:val="00786D3E"/>
    <w:rsid w:val="00786D65"/>
    <w:rsid w:val="00787C8B"/>
    <w:rsid w:val="007906CD"/>
    <w:rsid w:val="00790730"/>
    <w:rsid w:val="007907D5"/>
    <w:rsid w:val="007907E4"/>
    <w:rsid w:val="00790B1E"/>
    <w:rsid w:val="00790C70"/>
    <w:rsid w:val="007915E3"/>
    <w:rsid w:val="00791652"/>
    <w:rsid w:val="00793A8C"/>
    <w:rsid w:val="0079437F"/>
    <w:rsid w:val="007943D0"/>
    <w:rsid w:val="0079493B"/>
    <w:rsid w:val="00794D86"/>
    <w:rsid w:val="00796175"/>
    <w:rsid w:val="007962BE"/>
    <w:rsid w:val="00796564"/>
    <w:rsid w:val="007967C0"/>
    <w:rsid w:val="00796BB3"/>
    <w:rsid w:val="00797BEB"/>
    <w:rsid w:val="007A06A7"/>
    <w:rsid w:val="007A0F1F"/>
    <w:rsid w:val="007A223C"/>
    <w:rsid w:val="007A25EB"/>
    <w:rsid w:val="007A2C60"/>
    <w:rsid w:val="007A339F"/>
    <w:rsid w:val="007A3417"/>
    <w:rsid w:val="007A358D"/>
    <w:rsid w:val="007A3C42"/>
    <w:rsid w:val="007A427F"/>
    <w:rsid w:val="007A446F"/>
    <w:rsid w:val="007A47AA"/>
    <w:rsid w:val="007A505A"/>
    <w:rsid w:val="007A5A92"/>
    <w:rsid w:val="007A6A4B"/>
    <w:rsid w:val="007A7173"/>
    <w:rsid w:val="007A7AA4"/>
    <w:rsid w:val="007A7B3A"/>
    <w:rsid w:val="007B015D"/>
    <w:rsid w:val="007B039C"/>
    <w:rsid w:val="007B0D26"/>
    <w:rsid w:val="007B1497"/>
    <w:rsid w:val="007B1A87"/>
    <w:rsid w:val="007B20F8"/>
    <w:rsid w:val="007B237F"/>
    <w:rsid w:val="007B26E8"/>
    <w:rsid w:val="007B2D9B"/>
    <w:rsid w:val="007B315B"/>
    <w:rsid w:val="007B3687"/>
    <w:rsid w:val="007B4F5A"/>
    <w:rsid w:val="007B4FF8"/>
    <w:rsid w:val="007B6324"/>
    <w:rsid w:val="007B763B"/>
    <w:rsid w:val="007B7896"/>
    <w:rsid w:val="007C0663"/>
    <w:rsid w:val="007C0ECF"/>
    <w:rsid w:val="007C1053"/>
    <w:rsid w:val="007C18D9"/>
    <w:rsid w:val="007C2151"/>
    <w:rsid w:val="007C256A"/>
    <w:rsid w:val="007C34AB"/>
    <w:rsid w:val="007C3501"/>
    <w:rsid w:val="007C39D4"/>
    <w:rsid w:val="007C3B2B"/>
    <w:rsid w:val="007C3E04"/>
    <w:rsid w:val="007C4700"/>
    <w:rsid w:val="007C4DAA"/>
    <w:rsid w:val="007C4F79"/>
    <w:rsid w:val="007C5619"/>
    <w:rsid w:val="007C59EE"/>
    <w:rsid w:val="007C78B5"/>
    <w:rsid w:val="007C7AE7"/>
    <w:rsid w:val="007D04C0"/>
    <w:rsid w:val="007D0775"/>
    <w:rsid w:val="007D13EC"/>
    <w:rsid w:val="007D1A0A"/>
    <w:rsid w:val="007D29F5"/>
    <w:rsid w:val="007D2D3F"/>
    <w:rsid w:val="007D3AFA"/>
    <w:rsid w:val="007D3BC0"/>
    <w:rsid w:val="007D496B"/>
    <w:rsid w:val="007D4FB2"/>
    <w:rsid w:val="007D5218"/>
    <w:rsid w:val="007D6A81"/>
    <w:rsid w:val="007D71EE"/>
    <w:rsid w:val="007D73BB"/>
    <w:rsid w:val="007D7D54"/>
    <w:rsid w:val="007D7DAA"/>
    <w:rsid w:val="007E0BD8"/>
    <w:rsid w:val="007E15E7"/>
    <w:rsid w:val="007E2A00"/>
    <w:rsid w:val="007E2E99"/>
    <w:rsid w:val="007E2FB6"/>
    <w:rsid w:val="007E354C"/>
    <w:rsid w:val="007E40DF"/>
    <w:rsid w:val="007E423D"/>
    <w:rsid w:val="007E43CB"/>
    <w:rsid w:val="007E4D3A"/>
    <w:rsid w:val="007E5A22"/>
    <w:rsid w:val="007E5C78"/>
    <w:rsid w:val="007E5F4E"/>
    <w:rsid w:val="007E65CF"/>
    <w:rsid w:val="007E6C46"/>
    <w:rsid w:val="007E6F5A"/>
    <w:rsid w:val="007E79AB"/>
    <w:rsid w:val="007F04B0"/>
    <w:rsid w:val="007F2F80"/>
    <w:rsid w:val="007F3A87"/>
    <w:rsid w:val="007F4521"/>
    <w:rsid w:val="007F47BE"/>
    <w:rsid w:val="007F485B"/>
    <w:rsid w:val="007F4BF7"/>
    <w:rsid w:val="007F6272"/>
    <w:rsid w:val="007F635D"/>
    <w:rsid w:val="007F675A"/>
    <w:rsid w:val="007F6ADF"/>
    <w:rsid w:val="007F6F94"/>
    <w:rsid w:val="00800177"/>
    <w:rsid w:val="00800388"/>
    <w:rsid w:val="008006AF"/>
    <w:rsid w:val="00800906"/>
    <w:rsid w:val="00800C68"/>
    <w:rsid w:val="00801775"/>
    <w:rsid w:val="0080186F"/>
    <w:rsid w:val="0080193E"/>
    <w:rsid w:val="0080226A"/>
    <w:rsid w:val="00802C37"/>
    <w:rsid w:val="008031E0"/>
    <w:rsid w:val="00804ECE"/>
    <w:rsid w:val="00805ECE"/>
    <w:rsid w:val="008062FE"/>
    <w:rsid w:val="008063D8"/>
    <w:rsid w:val="008073AB"/>
    <w:rsid w:val="008076DE"/>
    <w:rsid w:val="00807B7A"/>
    <w:rsid w:val="008108B8"/>
    <w:rsid w:val="00811BC1"/>
    <w:rsid w:val="008123EC"/>
    <w:rsid w:val="00812D08"/>
    <w:rsid w:val="00813351"/>
    <w:rsid w:val="008133C6"/>
    <w:rsid w:val="0081362A"/>
    <w:rsid w:val="0081479F"/>
    <w:rsid w:val="00814FD6"/>
    <w:rsid w:val="00815BAB"/>
    <w:rsid w:val="00815F83"/>
    <w:rsid w:val="0081611C"/>
    <w:rsid w:val="008163F3"/>
    <w:rsid w:val="00816E33"/>
    <w:rsid w:val="008171C8"/>
    <w:rsid w:val="00817C0F"/>
    <w:rsid w:val="00817C1F"/>
    <w:rsid w:val="00820444"/>
    <w:rsid w:val="00820CB2"/>
    <w:rsid w:val="00820F0A"/>
    <w:rsid w:val="0082135B"/>
    <w:rsid w:val="0082153E"/>
    <w:rsid w:val="00821644"/>
    <w:rsid w:val="00823A25"/>
    <w:rsid w:val="00823E14"/>
    <w:rsid w:val="00823E1E"/>
    <w:rsid w:val="008241A7"/>
    <w:rsid w:val="008246F7"/>
    <w:rsid w:val="00824849"/>
    <w:rsid w:val="008249B6"/>
    <w:rsid w:val="008261D6"/>
    <w:rsid w:val="008263F8"/>
    <w:rsid w:val="008264A6"/>
    <w:rsid w:val="0082729C"/>
    <w:rsid w:val="008272B1"/>
    <w:rsid w:val="008273A6"/>
    <w:rsid w:val="0082770C"/>
    <w:rsid w:val="008303DD"/>
    <w:rsid w:val="00830603"/>
    <w:rsid w:val="00830F0B"/>
    <w:rsid w:val="00831380"/>
    <w:rsid w:val="0083161C"/>
    <w:rsid w:val="008316E0"/>
    <w:rsid w:val="00831F82"/>
    <w:rsid w:val="008320C2"/>
    <w:rsid w:val="00832828"/>
    <w:rsid w:val="00832BBB"/>
    <w:rsid w:val="00833EFE"/>
    <w:rsid w:val="00833F30"/>
    <w:rsid w:val="00835E96"/>
    <w:rsid w:val="008361E1"/>
    <w:rsid w:val="0083625C"/>
    <w:rsid w:val="00836EAA"/>
    <w:rsid w:val="00837861"/>
    <w:rsid w:val="00840FEB"/>
    <w:rsid w:val="00841D2A"/>
    <w:rsid w:val="00842803"/>
    <w:rsid w:val="0084298D"/>
    <w:rsid w:val="00842C3A"/>
    <w:rsid w:val="00842D57"/>
    <w:rsid w:val="008441A3"/>
    <w:rsid w:val="00844221"/>
    <w:rsid w:val="008445C4"/>
    <w:rsid w:val="0084467A"/>
    <w:rsid w:val="0084513A"/>
    <w:rsid w:val="00845269"/>
    <w:rsid w:val="008457AF"/>
    <w:rsid w:val="00845BA6"/>
    <w:rsid w:val="00845DF0"/>
    <w:rsid w:val="00845F07"/>
    <w:rsid w:val="00846AE0"/>
    <w:rsid w:val="00847EAE"/>
    <w:rsid w:val="0085124A"/>
    <w:rsid w:val="0085262C"/>
    <w:rsid w:val="00852809"/>
    <w:rsid w:val="008532D9"/>
    <w:rsid w:val="00853B32"/>
    <w:rsid w:val="0085401F"/>
    <w:rsid w:val="00854259"/>
    <w:rsid w:val="008543B0"/>
    <w:rsid w:val="00854B71"/>
    <w:rsid w:val="00854B90"/>
    <w:rsid w:val="0085773E"/>
    <w:rsid w:val="00860227"/>
    <w:rsid w:val="008603FA"/>
    <w:rsid w:val="00860ED7"/>
    <w:rsid w:val="0086123A"/>
    <w:rsid w:val="00861534"/>
    <w:rsid w:val="00861626"/>
    <w:rsid w:val="008619C9"/>
    <w:rsid w:val="00862054"/>
    <w:rsid w:val="0086210A"/>
    <w:rsid w:val="00862A08"/>
    <w:rsid w:val="0086388D"/>
    <w:rsid w:val="00863CC0"/>
    <w:rsid w:val="00864165"/>
    <w:rsid w:val="00864285"/>
    <w:rsid w:val="0086478C"/>
    <w:rsid w:val="00864BBE"/>
    <w:rsid w:val="00865D96"/>
    <w:rsid w:val="0086661D"/>
    <w:rsid w:val="008677E6"/>
    <w:rsid w:val="00870131"/>
    <w:rsid w:val="00872090"/>
    <w:rsid w:val="00872203"/>
    <w:rsid w:val="008728D2"/>
    <w:rsid w:val="00872B97"/>
    <w:rsid w:val="0087338E"/>
    <w:rsid w:val="00873527"/>
    <w:rsid w:val="008736AD"/>
    <w:rsid w:val="00874BDC"/>
    <w:rsid w:val="00874F20"/>
    <w:rsid w:val="008752F4"/>
    <w:rsid w:val="00875FD5"/>
    <w:rsid w:val="00876707"/>
    <w:rsid w:val="00876715"/>
    <w:rsid w:val="00876B24"/>
    <w:rsid w:val="008809B3"/>
    <w:rsid w:val="008809F9"/>
    <w:rsid w:val="00880A05"/>
    <w:rsid w:val="0088189A"/>
    <w:rsid w:val="00881F3A"/>
    <w:rsid w:val="008822E8"/>
    <w:rsid w:val="008834E0"/>
    <w:rsid w:val="008847EA"/>
    <w:rsid w:val="00884933"/>
    <w:rsid w:val="00884AE5"/>
    <w:rsid w:val="00884C46"/>
    <w:rsid w:val="008857B5"/>
    <w:rsid w:val="00885975"/>
    <w:rsid w:val="00885E23"/>
    <w:rsid w:val="0088686B"/>
    <w:rsid w:val="00886F27"/>
    <w:rsid w:val="008876C8"/>
    <w:rsid w:val="00887B74"/>
    <w:rsid w:val="00887E6E"/>
    <w:rsid w:val="008915CF"/>
    <w:rsid w:val="0089184D"/>
    <w:rsid w:val="00891C7D"/>
    <w:rsid w:val="00891D54"/>
    <w:rsid w:val="00892D3C"/>
    <w:rsid w:val="0089397D"/>
    <w:rsid w:val="00893FBE"/>
    <w:rsid w:val="008940A6"/>
    <w:rsid w:val="008941CD"/>
    <w:rsid w:val="00895019"/>
    <w:rsid w:val="008954DB"/>
    <w:rsid w:val="008962E8"/>
    <w:rsid w:val="0089668F"/>
    <w:rsid w:val="008971E0"/>
    <w:rsid w:val="00897AD4"/>
    <w:rsid w:val="00897C89"/>
    <w:rsid w:val="008A092B"/>
    <w:rsid w:val="008A0D7B"/>
    <w:rsid w:val="008A0F68"/>
    <w:rsid w:val="008A1ADF"/>
    <w:rsid w:val="008A202F"/>
    <w:rsid w:val="008A271C"/>
    <w:rsid w:val="008A31B4"/>
    <w:rsid w:val="008A4474"/>
    <w:rsid w:val="008A4966"/>
    <w:rsid w:val="008A4BC1"/>
    <w:rsid w:val="008A6121"/>
    <w:rsid w:val="008A6DBF"/>
    <w:rsid w:val="008A7186"/>
    <w:rsid w:val="008A72FC"/>
    <w:rsid w:val="008A7DFB"/>
    <w:rsid w:val="008B0D71"/>
    <w:rsid w:val="008B1CDE"/>
    <w:rsid w:val="008B204B"/>
    <w:rsid w:val="008B275B"/>
    <w:rsid w:val="008B36FF"/>
    <w:rsid w:val="008B3AEC"/>
    <w:rsid w:val="008B3CF6"/>
    <w:rsid w:val="008B5A83"/>
    <w:rsid w:val="008B5CB3"/>
    <w:rsid w:val="008B5CE1"/>
    <w:rsid w:val="008B6121"/>
    <w:rsid w:val="008B6757"/>
    <w:rsid w:val="008B6F2B"/>
    <w:rsid w:val="008B72CC"/>
    <w:rsid w:val="008B79C7"/>
    <w:rsid w:val="008C0064"/>
    <w:rsid w:val="008C0146"/>
    <w:rsid w:val="008C0D36"/>
    <w:rsid w:val="008C171D"/>
    <w:rsid w:val="008C2135"/>
    <w:rsid w:val="008C2BA9"/>
    <w:rsid w:val="008C30C2"/>
    <w:rsid w:val="008C316B"/>
    <w:rsid w:val="008C3ECF"/>
    <w:rsid w:val="008C50B9"/>
    <w:rsid w:val="008C7316"/>
    <w:rsid w:val="008D0AE0"/>
    <w:rsid w:val="008D18DB"/>
    <w:rsid w:val="008D18EA"/>
    <w:rsid w:val="008D1BBC"/>
    <w:rsid w:val="008D1EF2"/>
    <w:rsid w:val="008D32FD"/>
    <w:rsid w:val="008D3571"/>
    <w:rsid w:val="008D46D7"/>
    <w:rsid w:val="008D4850"/>
    <w:rsid w:val="008D4932"/>
    <w:rsid w:val="008D5E6B"/>
    <w:rsid w:val="008D6335"/>
    <w:rsid w:val="008D6EC4"/>
    <w:rsid w:val="008D71AF"/>
    <w:rsid w:val="008D71FC"/>
    <w:rsid w:val="008D72D6"/>
    <w:rsid w:val="008D746E"/>
    <w:rsid w:val="008D765F"/>
    <w:rsid w:val="008E04CE"/>
    <w:rsid w:val="008E0D72"/>
    <w:rsid w:val="008E15E8"/>
    <w:rsid w:val="008E24E5"/>
    <w:rsid w:val="008E25A8"/>
    <w:rsid w:val="008E379F"/>
    <w:rsid w:val="008E3827"/>
    <w:rsid w:val="008E3DF7"/>
    <w:rsid w:val="008E41E9"/>
    <w:rsid w:val="008E4A72"/>
    <w:rsid w:val="008E53C3"/>
    <w:rsid w:val="008E6383"/>
    <w:rsid w:val="008E6F66"/>
    <w:rsid w:val="008E7826"/>
    <w:rsid w:val="008F04FC"/>
    <w:rsid w:val="008F07B6"/>
    <w:rsid w:val="008F0E76"/>
    <w:rsid w:val="008F11AA"/>
    <w:rsid w:val="008F14B0"/>
    <w:rsid w:val="008F1A04"/>
    <w:rsid w:val="008F1AEA"/>
    <w:rsid w:val="008F1CD1"/>
    <w:rsid w:val="008F25AA"/>
    <w:rsid w:val="008F32C3"/>
    <w:rsid w:val="008F4419"/>
    <w:rsid w:val="008F52D8"/>
    <w:rsid w:val="008F5F91"/>
    <w:rsid w:val="008F61D1"/>
    <w:rsid w:val="008F622D"/>
    <w:rsid w:val="008F768B"/>
    <w:rsid w:val="008F7D7E"/>
    <w:rsid w:val="008F7F02"/>
    <w:rsid w:val="00900202"/>
    <w:rsid w:val="00900707"/>
    <w:rsid w:val="00900BB4"/>
    <w:rsid w:val="009017D2"/>
    <w:rsid w:val="00901804"/>
    <w:rsid w:val="00901ECB"/>
    <w:rsid w:val="00902CBA"/>
    <w:rsid w:val="00903356"/>
    <w:rsid w:val="00903C05"/>
    <w:rsid w:val="00905346"/>
    <w:rsid w:val="00905516"/>
    <w:rsid w:val="009068A0"/>
    <w:rsid w:val="00907325"/>
    <w:rsid w:val="00907C2D"/>
    <w:rsid w:val="009103E8"/>
    <w:rsid w:val="00910C7C"/>
    <w:rsid w:val="00911DBA"/>
    <w:rsid w:val="00914D31"/>
    <w:rsid w:val="0091591F"/>
    <w:rsid w:val="00915A3E"/>
    <w:rsid w:val="00915B17"/>
    <w:rsid w:val="009171DB"/>
    <w:rsid w:val="00917EE7"/>
    <w:rsid w:val="00917F16"/>
    <w:rsid w:val="009208FE"/>
    <w:rsid w:val="009209D1"/>
    <w:rsid w:val="00920A0A"/>
    <w:rsid w:val="009213E8"/>
    <w:rsid w:val="00921542"/>
    <w:rsid w:val="009218EE"/>
    <w:rsid w:val="00921B99"/>
    <w:rsid w:val="00921E92"/>
    <w:rsid w:val="00923068"/>
    <w:rsid w:val="00923849"/>
    <w:rsid w:val="00923B4C"/>
    <w:rsid w:val="00923E57"/>
    <w:rsid w:val="009249B3"/>
    <w:rsid w:val="00924B4D"/>
    <w:rsid w:val="00924BD3"/>
    <w:rsid w:val="00924DC1"/>
    <w:rsid w:val="00925BAD"/>
    <w:rsid w:val="00925BC3"/>
    <w:rsid w:val="00925F4C"/>
    <w:rsid w:val="0092635A"/>
    <w:rsid w:val="00926D1C"/>
    <w:rsid w:val="00926E70"/>
    <w:rsid w:val="0092719C"/>
    <w:rsid w:val="0092787C"/>
    <w:rsid w:val="00930624"/>
    <w:rsid w:val="00930CCB"/>
    <w:rsid w:val="0093103A"/>
    <w:rsid w:val="00931AEA"/>
    <w:rsid w:val="00931FB7"/>
    <w:rsid w:val="0093215E"/>
    <w:rsid w:val="009321F9"/>
    <w:rsid w:val="00932261"/>
    <w:rsid w:val="009326EF"/>
    <w:rsid w:val="009327A0"/>
    <w:rsid w:val="0093382D"/>
    <w:rsid w:val="00934203"/>
    <w:rsid w:val="00934232"/>
    <w:rsid w:val="009343F2"/>
    <w:rsid w:val="009344A0"/>
    <w:rsid w:val="00934A8A"/>
    <w:rsid w:val="00934B35"/>
    <w:rsid w:val="00934BB2"/>
    <w:rsid w:val="00935A9F"/>
    <w:rsid w:val="00936A1E"/>
    <w:rsid w:val="00936EBB"/>
    <w:rsid w:val="009372F1"/>
    <w:rsid w:val="00943EB1"/>
    <w:rsid w:val="009440C0"/>
    <w:rsid w:val="00944314"/>
    <w:rsid w:val="009454B7"/>
    <w:rsid w:val="009462D8"/>
    <w:rsid w:val="009465E9"/>
    <w:rsid w:val="009505E0"/>
    <w:rsid w:val="00950BAD"/>
    <w:rsid w:val="009513F8"/>
    <w:rsid w:val="00951978"/>
    <w:rsid w:val="00952381"/>
    <w:rsid w:val="00952E37"/>
    <w:rsid w:val="00953B39"/>
    <w:rsid w:val="00953DB2"/>
    <w:rsid w:val="00954939"/>
    <w:rsid w:val="00955131"/>
    <w:rsid w:val="00955ACF"/>
    <w:rsid w:val="00955DF3"/>
    <w:rsid w:val="00956686"/>
    <w:rsid w:val="009570B7"/>
    <w:rsid w:val="00957621"/>
    <w:rsid w:val="009577D5"/>
    <w:rsid w:val="00957F4C"/>
    <w:rsid w:val="00960127"/>
    <w:rsid w:val="00960B7D"/>
    <w:rsid w:val="009617A3"/>
    <w:rsid w:val="00961F56"/>
    <w:rsid w:val="00962021"/>
    <w:rsid w:val="00962720"/>
    <w:rsid w:val="00962A07"/>
    <w:rsid w:val="0096342C"/>
    <w:rsid w:val="009635D0"/>
    <w:rsid w:val="0096384E"/>
    <w:rsid w:val="00963A33"/>
    <w:rsid w:val="00964788"/>
    <w:rsid w:val="009670CE"/>
    <w:rsid w:val="0096766D"/>
    <w:rsid w:val="00970727"/>
    <w:rsid w:val="0097225B"/>
    <w:rsid w:val="009732C1"/>
    <w:rsid w:val="00973D35"/>
    <w:rsid w:val="00973D3E"/>
    <w:rsid w:val="009740AA"/>
    <w:rsid w:val="0097450B"/>
    <w:rsid w:val="009750D1"/>
    <w:rsid w:val="00975A25"/>
    <w:rsid w:val="0097666C"/>
    <w:rsid w:val="009771B2"/>
    <w:rsid w:val="0097746E"/>
    <w:rsid w:val="00977D8F"/>
    <w:rsid w:val="00977DBD"/>
    <w:rsid w:val="00980336"/>
    <w:rsid w:val="00980CD0"/>
    <w:rsid w:val="009812FD"/>
    <w:rsid w:val="00981B2A"/>
    <w:rsid w:val="00981D24"/>
    <w:rsid w:val="00981D9B"/>
    <w:rsid w:val="00984076"/>
    <w:rsid w:val="0098458F"/>
    <w:rsid w:val="00984970"/>
    <w:rsid w:val="00984FD2"/>
    <w:rsid w:val="0098559F"/>
    <w:rsid w:val="0098635A"/>
    <w:rsid w:val="0098639E"/>
    <w:rsid w:val="00987019"/>
    <w:rsid w:val="00987E20"/>
    <w:rsid w:val="00990A36"/>
    <w:rsid w:val="00991922"/>
    <w:rsid w:val="00992646"/>
    <w:rsid w:val="0099296C"/>
    <w:rsid w:val="009945E9"/>
    <w:rsid w:val="00994D78"/>
    <w:rsid w:val="00995333"/>
    <w:rsid w:val="009955F7"/>
    <w:rsid w:val="00996E2C"/>
    <w:rsid w:val="00997417"/>
    <w:rsid w:val="009A0575"/>
    <w:rsid w:val="009A18A7"/>
    <w:rsid w:val="009A1941"/>
    <w:rsid w:val="009A1F47"/>
    <w:rsid w:val="009A20DB"/>
    <w:rsid w:val="009A28DB"/>
    <w:rsid w:val="009A2ECE"/>
    <w:rsid w:val="009A2F8E"/>
    <w:rsid w:val="009A3131"/>
    <w:rsid w:val="009A3E0F"/>
    <w:rsid w:val="009A4851"/>
    <w:rsid w:val="009A4924"/>
    <w:rsid w:val="009A55B0"/>
    <w:rsid w:val="009A5603"/>
    <w:rsid w:val="009A56A0"/>
    <w:rsid w:val="009A5A12"/>
    <w:rsid w:val="009A6722"/>
    <w:rsid w:val="009A6D53"/>
    <w:rsid w:val="009A6E7F"/>
    <w:rsid w:val="009A73BE"/>
    <w:rsid w:val="009A7619"/>
    <w:rsid w:val="009B06EB"/>
    <w:rsid w:val="009B08F0"/>
    <w:rsid w:val="009B1E12"/>
    <w:rsid w:val="009B1E4F"/>
    <w:rsid w:val="009B1E62"/>
    <w:rsid w:val="009B22FB"/>
    <w:rsid w:val="009B2DC0"/>
    <w:rsid w:val="009B33EC"/>
    <w:rsid w:val="009B34B2"/>
    <w:rsid w:val="009B3540"/>
    <w:rsid w:val="009B3767"/>
    <w:rsid w:val="009B48F5"/>
    <w:rsid w:val="009B4CFF"/>
    <w:rsid w:val="009B4DF8"/>
    <w:rsid w:val="009B5414"/>
    <w:rsid w:val="009B54D3"/>
    <w:rsid w:val="009B5AFF"/>
    <w:rsid w:val="009B65C3"/>
    <w:rsid w:val="009B6C01"/>
    <w:rsid w:val="009B7035"/>
    <w:rsid w:val="009B7178"/>
    <w:rsid w:val="009C0175"/>
    <w:rsid w:val="009C14DD"/>
    <w:rsid w:val="009C1EA8"/>
    <w:rsid w:val="009C2918"/>
    <w:rsid w:val="009C3713"/>
    <w:rsid w:val="009C3C1F"/>
    <w:rsid w:val="009C4500"/>
    <w:rsid w:val="009C4B88"/>
    <w:rsid w:val="009C5285"/>
    <w:rsid w:val="009C55BC"/>
    <w:rsid w:val="009C5800"/>
    <w:rsid w:val="009C59FA"/>
    <w:rsid w:val="009C602E"/>
    <w:rsid w:val="009C6E43"/>
    <w:rsid w:val="009C6E4C"/>
    <w:rsid w:val="009C73F9"/>
    <w:rsid w:val="009C7832"/>
    <w:rsid w:val="009C7F0F"/>
    <w:rsid w:val="009D00D1"/>
    <w:rsid w:val="009D028E"/>
    <w:rsid w:val="009D0B1B"/>
    <w:rsid w:val="009D0FB7"/>
    <w:rsid w:val="009D1980"/>
    <w:rsid w:val="009D21BF"/>
    <w:rsid w:val="009D2410"/>
    <w:rsid w:val="009D25F8"/>
    <w:rsid w:val="009D25FC"/>
    <w:rsid w:val="009D293D"/>
    <w:rsid w:val="009D397A"/>
    <w:rsid w:val="009D40D0"/>
    <w:rsid w:val="009D4388"/>
    <w:rsid w:val="009D48E5"/>
    <w:rsid w:val="009D4D5D"/>
    <w:rsid w:val="009D53D4"/>
    <w:rsid w:val="009D541B"/>
    <w:rsid w:val="009D5B02"/>
    <w:rsid w:val="009D61F2"/>
    <w:rsid w:val="009D6682"/>
    <w:rsid w:val="009D6760"/>
    <w:rsid w:val="009D67E2"/>
    <w:rsid w:val="009D6DC6"/>
    <w:rsid w:val="009D6F56"/>
    <w:rsid w:val="009D7F5F"/>
    <w:rsid w:val="009E0940"/>
    <w:rsid w:val="009E0B78"/>
    <w:rsid w:val="009E0DE2"/>
    <w:rsid w:val="009E2074"/>
    <w:rsid w:val="009E251F"/>
    <w:rsid w:val="009E286A"/>
    <w:rsid w:val="009E2933"/>
    <w:rsid w:val="009E2FB9"/>
    <w:rsid w:val="009E34E5"/>
    <w:rsid w:val="009E3533"/>
    <w:rsid w:val="009E358E"/>
    <w:rsid w:val="009E4C82"/>
    <w:rsid w:val="009E6A27"/>
    <w:rsid w:val="009E6AC9"/>
    <w:rsid w:val="009E707E"/>
    <w:rsid w:val="009E7206"/>
    <w:rsid w:val="009E7550"/>
    <w:rsid w:val="009E7560"/>
    <w:rsid w:val="009E7872"/>
    <w:rsid w:val="009F020E"/>
    <w:rsid w:val="009F0224"/>
    <w:rsid w:val="009F0985"/>
    <w:rsid w:val="009F0BB9"/>
    <w:rsid w:val="009F0DDA"/>
    <w:rsid w:val="009F157A"/>
    <w:rsid w:val="009F1F86"/>
    <w:rsid w:val="009F21AE"/>
    <w:rsid w:val="009F248E"/>
    <w:rsid w:val="009F24A2"/>
    <w:rsid w:val="009F2792"/>
    <w:rsid w:val="009F2E73"/>
    <w:rsid w:val="009F335F"/>
    <w:rsid w:val="009F3D9A"/>
    <w:rsid w:val="009F41AC"/>
    <w:rsid w:val="009F4634"/>
    <w:rsid w:val="009F4B32"/>
    <w:rsid w:val="009F5997"/>
    <w:rsid w:val="009F5EF5"/>
    <w:rsid w:val="009F6962"/>
    <w:rsid w:val="009F6B46"/>
    <w:rsid w:val="009F6DB2"/>
    <w:rsid w:val="009F71CC"/>
    <w:rsid w:val="009F7718"/>
    <w:rsid w:val="009F777E"/>
    <w:rsid w:val="009F7C30"/>
    <w:rsid w:val="00A003E2"/>
    <w:rsid w:val="00A00AC9"/>
    <w:rsid w:val="00A010A3"/>
    <w:rsid w:val="00A024E7"/>
    <w:rsid w:val="00A03211"/>
    <w:rsid w:val="00A05A16"/>
    <w:rsid w:val="00A05AB9"/>
    <w:rsid w:val="00A0672F"/>
    <w:rsid w:val="00A06DC9"/>
    <w:rsid w:val="00A07649"/>
    <w:rsid w:val="00A07E5C"/>
    <w:rsid w:val="00A07EF0"/>
    <w:rsid w:val="00A102A9"/>
    <w:rsid w:val="00A103FA"/>
    <w:rsid w:val="00A1074B"/>
    <w:rsid w:val="00A10EFE"/>
    <w:rsid w:val="00A11A6C"/>
    <w:rsid w:val="00A11AC1"/>
    <w:rsid w:val="00A1238D"/>
    <w:rsid w:val="00A1252F"/>
    <w:rsid w:val="00A138C2"/>
    <w:rsid w:val="00A1595F"/>
    <w:rsid w:val="00A166A6"/>
    <w:rsid w:val="00A2032A"/>
    <w:rsid w:val="00A2072B"/>
    <w:rsid w:val="00A208A0"/>
    <w:rsid w:val="00A20987"/>
    <w:rsid w:val="00A217A7"/>
    <w:rsid w:val="00A21910"/>
    <w:rsid w:val="00A21B7D"/>
    <w:rsid w:val="00A21D1F"/>
    <w:rsid w:val="00A222E9"/>
    <w:rsid w:val="00A22522"/>
    <w:rsid w:val="00A22B7D"/>
    <w:rsid w:val="00A23F3F"/>
    <w:rsid w:val="00A2441F"/>
    <w:rsid w:val="00A24459"/>
    <w:rsid w:val="00A2449D"/>
    <w:rsid w:val="00A255A5"/>
    <w:rsid w:val="00A268BA"/>
    <w:rsid w:val="00A270F8"/>
    <w:rsid w:val="00A278B3"/>
    <w:rsid w:val="00A279F8"/>
    <w:rsid w:val="00A27F58"/>
    <w:rsid w:val="00A302C7"/>
    <w:rsid w:val="00A306F6"/>
    <w:rsid w:val="00A315FC"/>
    <w:rsid w:val="00A32217"/>
    <w:rsid w:val="00A33888"/>
    <w:rsid w:val="00A33D1C"/>
    <w:rsid w:val="00A33E7A"/>
    <w:rsid w:val="00A3459C"/>
    <w:rsid w:val="00A34ACA"/>
    <w:rsid w:val="00A35B1C"/>
    <w:rsid w:val="00A363C2"/>
    <w:rsid w:val="00A3699D"/>
    <w:rsid w:val="00A36E3B"/>
    <w:rsid w:val="00A37432"/>
    <w:rsid w:val="00A37707"/>
    <w:rsid w:val="00A377C1"/>
    <w:rsid w:val="00A429EE"/>
    <w:rsid w:val="00A42DB3"/>
    <w:rsid w:val="00A43AB9"/>
    <w:rsid w:val="00A4404E"/>
    <w:rsid w:val="00A46E03"/>
    <w:rsid w:val="00A47658"/>
    <w:rsid w:val="00A476F1"/>
    <w:rsid w:val="00A47ED2"/>
    <w:rsid w:val="00A502DA"/>
    <w:rsid w:val="00A50B8C"/>
    <w:rsid w:val="00A50CF5"/>
    <w:rsid w:val="00A51549"/>
    <w:rsid w:val="00A51FA3"/>
    <w:rsid w:val="00A5204A"/>
    <w:rsid w:val="00A524B4"/>
    <w:rsid w:val="00A537B8"/>
    <w:rsid w:val="00A546CC"/>
    <w:rsid w:val="00A54EA7"/>
    <w:rsid w:val="00A55193"/>
    <w:rsid w:val="00A55F51"/>
    <w:rsid w:val="00A5609D"/>
    <w:rsid w:val="00A56262"/>
    <w:rsid w:val="00A566CB"/>
    <w:rsid w:val="00A56745"/>
    <w:rsid w:val="00A568E0"/>
    <w:rsid w:val="00A571E4"/>
    <w:rsid w:val="00A602F7"/>
    <w:rsid w:val="00A6092E"/>
    <w:rsid w:val="00A60D54"/>
    <w:rsid w:val="00A60EB4"/>
    <w:rsid w:val="00A610B6"/>
    <w:rsid w:val="00A624C1"/>
    <w:rsid w:val="00A62C27"/>
    <w:rsid w:val="00A62DE3"/>
    <w:rsid w:val="00A6337A"/>
    <w:rsid w:val="00A63545"/>
    <w:rsid w:val="00A6356B"/>
    <w:rsid w:val="00A64C04"/>
    <w:rsid w:val="00A64EAE"/>
    <w:rsid w:val="00A6505F"/>
    <w:rsid w:val="00A65C76"/>
    <w:rsid w:val="00A66886"/>
    <w:rsid w:val="00A66C17"/>
    <w:rsid w:val="00A66EA8"/>
    <w:rsid w:val="00A672DA"/>
    <w:rsid w:val="00A67F94"/>
    <w:rsid w:val="00A70097"/>
    <w:rsid w:val="00A70A1C"/>
    <w:rsid w:val="00A72131"/>
    <w:rsid w:val="00A72371"/>
    <w:rsid w:val="00A72546"/>
    <w:rsid w:val="00A72C2F"/>
    <w:rsid w:val="00A73074"/>
    <w:rsid w:val="00A731B0"/>
    <w:rsid w:val="00A73434"/>
    <w:rsid w:val="00A73728"/>
    <w:rsid w:val="00A739FB"/>
    <w:rsid w:val="00A7439C"/>
    <w:rsid w:val="00A74417"/>
    <w:rsid w:val="00A74CE6"/>
    <w:rsid w:val="00A74D12"/>
    <w:rsid w:val="00A74F64"/>
    <w:rsid w:val="00A7512D"/>
    <w:rsid w:val="00A7550A"/>
    <w:rsid w:val="00A7674D"/>
    <w:rsid w:val="00A77233"/>
    <w:rsid w:val="00A8051D"/>
    <w:rsid w:val="00A80B71"/>
    <w:rsid w:val="00A811A0"/>
    <w:rsid w:val="00A813FA"/>
    <w:rsid w:val="00A814E5"/>
    <w:rsid w:val="00A820DB"/>
    <w:rsid w:val="00A822B6"/>
    <w:rsid w:val="00A82594"/>
    <w:rsid w:val="00A829C4"/>
    <w:rsid w:val="00A82A9E"/>
    <w:rsid w:val="00A830F0"/>
    <w:rsid w:val="00A83F17"/>
    <w:rsid w:val="00A84A85"/>
    <w:rsid w:val="00A84A9A"/>
    <w:rsid w:val="00A85436"/>
    <w:rsid w:val="00A860D8"/>
    <w:rsid w:val="00A865C4"/>
    <w:rsid w:val="00A86696"/>
    <w:rsid w:val="00A866B9"/>
    <w:rsid w:val="00A872DD"/>
    <w:rsid w:val="00A87B33"/>
    <w:rsid w:val="00A90191"/>
    <w:rsid w:val="00A911C5"/>
    <w:rsid w:val="00A91635"/>
    <w:rsid w:val="00A922A0"/>
    <w:rsid w:val="00A922F2"/>
    <w:rsid w:val="00A930D6"/>
    <w:rsid w:val="00A93D17"/>
    <w:rsid w:val="00A94885"/>
    <w:rsid w:val="00A95289"/>
    <w:rsid w:val="00A95A6C"/>
    <w:rsid w:val="00A95B60"/>
    <w:rsid w:val="00A96199"/>
    <w:rsid w:val="00A96DD4"/>
    <w:rsid w:val="00A978D3"/>
    <w:rsid w:val="00AA04EC"/>
    <w:rsid w:val="00AA06A6"/>
    <w:rsid w:val="00AA11F3"/>
    <w:rsid w:val="00AA12D9"/>
    <w:rsid w:val="00AA140C"/>
    <w:rsid w:val="00AA1569"/>
    <w:rsid w:val="00AA1943"/>
    <w:rsid w:val="00AA2854"/>
    <w:rsid w:val="00AA3C1B"/>
    <w:rsid w:val="00AA5E01"/>
    <w:rsid w:val="00AA5F26"/>
    <w:rsid w:val="00AA64D1"/>
    <w:rsid w:val="00AA689D"/>
    <w:rsid w:val="00AA6B77"/>
    <w:rsid w:val="00AA6C51"/>
    <w:rsid w:val="00AA7EA5"/>
    <w:rsid w:val="00AB0431"/>
    <w:rsid w:val="00AB0498"/>
    <w:rsid w:val="00AB0547"/>
    <w:rsid w:val="00AB0A14"/>
    <w:rsid w:val="00AB1069"/>
    <w:rsid w:val="00AB24CB"/>
    <w:rsid w:val="00AB2ACE"/>
    <w:rsid w:val="00AB3395"/>
    <w:rsid w:val="00AB36EA"/>
    <w:rsid w:val="00AB3EF6"/>
    <w:rsid w:val="00AB47F2"/>
    <w:rsid w:val="00AB510A"/>
    <w:rsid w:val="00AB5812"/>
    <w:rsid w:val="00AB58FC"/>
    <w:rsid w:val="00AB6096"/>
    <w:rsid w:val="00AB65CF"/>
    <w:rsid w:val="00AB669C"/>
    <w:rsid w:val="00AB680B"/>
    <w:rsid w:val="00AB7F6C"/>
    <w:rsid w:val="00AC0A82"/>
    <w:rsid w:val="00AC109D"/>
    <w:rsid w:val="00AC1315"/>
    <w:rsid w:val="00AC1406"/>
    <w:rsid w:val="00AC159C"/>
    <w:rsid w:val="00AC1C36"/>
    <w:rsid w:val="00AC1EB9"/>
    <w:rsid w:val="00AC259E"/>
    <w:rsid w:val="00AC25CC"/>
    <w:rsid w:val="00AC2AFD"/>
    <w:rsid w:val="00AC2C74"/>
    <w:rsid w:val="00AC2EE1"/>
    <w:rsid w:val="00AC383B"/>
    <w:rsid w:val="00AC3B4E"/>
    <w:rsid w:val="00AC57A1"/>
    <w:rsid w:val="00AC61C0"/>
    <w:rsid w:val="00AC6834"/>
    <w:rsid w:val="00AC7366"/>
    <w:rsid w:val="00AD0BB5"/>
    <w:rsid w:val="00AD0EC1"/>
    <w:rsid w:val="00AD0F09"/>
    <w:rsid w:val="00AD1515"/>
    <w:rsid w:val="00AD1989"/>
    <w:rsid w:val="00AD28A0"/>
    <w:rsid w:val="00AD4594"/>
    <w:rsid w:val="00AD5AED"/>
    <w:rsid w:val="00AD5F04"/>
    <w:rsid w:val="00AD707F"/>
    <w:rsid w:val="00AD784E"/>
    <w:rsid w:val="00AD7BF7"/>
    <w:rsid w:val="00AD7E90"/>
    <w:rsid w:val="00AD7F34"/>
    <w:rsid w:val="00AE01F7"/>
    <w:rsid w:val="00AE034E"/>
    <w:rsid w:val="00AE0643"/>
    <w:rsid w:val="00AE0B59"/>
    <w:rsid w:val="00AE0BBE"/>
    <w:rsid w:val="00AE0EC8"/>
    <w:rsid w:val="00AE10E3"/>
    <w:rsid w:val="00AE114E"/>
    <w:rsid w:val="00AE12C1"/>
    <w:rsid w:val="00AE2311"/>
    <w:rsid w:val="00AE2CF7"/>
    <w:rsid w:val="00AE32C2"/>
    <w:rsid w:val="00AE32D0"/>
    <w:rsid w:val="00AE35DB"/>
    <w:rsid w:val="00AE3A45"/>
    <w:rsid w:val="00AE4032"/>
    <w:rsid w:val="00AE4351"/>
    <w:rsid w:val="00AE476A"/>
    <w:rsid w:val="00AE4C73"/>
    <w:rsid w:val="00AE4ECD"/>
    <w:rsid w:val="00AE4FEF"/>
    <w:rsid w:val="00AE52AD"/>
    <w:rsid w:val="00AE6F0E"/>
    <w:rsid w:val="00AE74A2"/>
    <w:rsid w:val="00AE7D25"/>
    <w:rsid w:val="00AE7EAE"/>
    <w:rsid w:val="00AF123D"/>
    <w:rsid w:val="00AF39F7"/>
    <w:rsid w:val="00AF46C6"/>
    <w:rsid w:val="00AF4B72"/>
    <w:rsid w:val="00AF5AE5"/>
    <w:rsid w:val="00AF5E09"/>
    <w:rsid w:val="00AF6BF9"/>
    <w:rsid w:val="00AF6CD9"/>
    <w:rsid w:val="00AF6F23"/>
    <w:rsid w:val="00AF71D9"/>
    <w:rsid w:val="00AF7F57"/>
    <w:rsid w:val="00B0096A"/>
    <w:rsid w:val="00B01F78"/>
    <w:rsid w:val="00B023DC"/>
    <w:rsid w:val="00B033CC"/>
    <w:rsid w:val="00B047E2"/>
    <w:rsid w:val="00B04F4D"/>
    <w:rsid w:val="00B0547D"/>
    <w:rsid w:val="00B056A9"/>
    <w:rsid w:val="00B06244"/>
    <w:rsid w:val="00B070EC"/>
    <w:rsid w:val="00B0738A"/>
    <w:rsid w:val="00B07659"/>
    <w:rsid w:val="00B07F7C"/>
    <w:rsid w:val="00B100E3"/>
    <w:rsid w:val="00B10625"/>
    <w:rsid w:val="00B108C2"/>
    <w:rsid w:val="00B1138A"/>
    <w:rsid w:val="00B11E35"/>
    <w:rsid w:val="00B121ED"/>
    <w:rsid w:val="00B12268"/>
    <w:rsid w:val="00B14254"/>
    <w:rsid w:val="00B146B0"/>
    <w:rsid w:val="00B14C7D"/>
    <w:rsid w:val="00B14CA1"/>
    <w:rsid w:val="00B151F8"/>
    <w:rsid w:val="00B15277"/>
    <w:rsid w:val="00B16F3A"/>
    <w:rsid w:val="00B177C5"/>
    <w:rsid w:val="00B201AF"/>
    <w:rsid w:val="00B217B9"/>
    <w:rsid w:val="00B225F8"/>
    <w:rsid w:val="00B244AE"/>
    <w:rsid w:val="00B24601"/>
    <w:rsid w:val="00B2587D"/>
    <w:rsid w:val="00B25A62"/>
    <w:rsid w:val="00B25E32"/>
    <w:rsid w:val="00B260BA"/>
    <w:rsid w:val="00B27177"/>
    <w:rsid w:val="00B27352"/>
    <w:rsid w:val="00B302DC"/>
    <w:rsid w:val="00B31F7E"/>
    <w:rsid w:val="00B322E5"/>
    <w:rsid w:val="00B3269A"/>
    <w:rsid w:val="00B32881"/>
    <w:rsid w:val="00B32ED3"/>
    <w:rsid w:val="00B3378D"/>
    <w:rsid w:val="00B3462D"/>
    <w:rsid w:val="00B34B9B"/>
    <w:rsid w:val="00B34FD2"/>
    <w:rsid w:val="00B35399"/>
    <w:rsid w:val="00B35C88"/>
    <w:rsid w:val="00B35F19"/>
    <w:rsid w:val="00B36985"/>
    <w:rsid w:val="00B3722E"/>
    <w:rsid w:val="00B377B6"/>
    <w:rsid w:val="00B37F32"/>
    <w:rsid w:val="00B412B1"/>
    <w:rsid w:val="00B418CE"/>
    <w:rsid w:val="00B41F00"/>
    <w:rsid w:val="00B424F8"/>
    <w:rsid w:val="00B42759"/>
    <w:rsid w:val="00B428E0"/>
    <w:rsid w:val="00B42F1E"/>
    <w:rsid w:val="00B4353D"/>
    <w:rsid w:val="00B43765"/>
    <w:rsid w:val="00B44352"/>
    <w:rsid w:val="00B44644"/>
    <w:rsid w:val="00B44AB5"/>
    <w:rsid w:val="00B44B87"/>
    <w:rsid w:val="00B44E06"/>
    <w:rsid w:val="00B455BD"/>
    <w:rsid w:val="00B45615"/>
    <w:rsid w:val="00B4575A"/>
    <w:rsid w:val="00B457C2"/>
    <w:rsid w:val="00B4580B"/>
    <w:rsid w:val="00B45FD2"/>
    <w:rsid w:val="00B46C35"/>
    <w:rsid w:val="00B46E30"/>
    <w:rsid w:val="00B47A41"/>
    <w:rsid w:val="00B50ED7"/>
    <w:rsid w:val="00B512AF"/>
    <w:rsid w:val="00B51430"/>
    <w:rsid w:val="00B51590"/>
    <w:rsid w:val="00B51C21"/>
    <w:rsid w:val="00B51D32"/>
    <w:rsid w:val="00B52081"/>
    <w:rsid w:val="00B526EB"/>
    <w:rsid w:val="00B54AA9"/>
    <w:rsid w:val="00B54FA1"/>
    <w:rsid w:val="00B557C6"/>
    <w:rsid w:val="00B561C8"/>
    <w:rsid w:val="00B57475"/>
    <w:rsid w:val="00B57F2E"/>
    <w:rsid w:val="00B601C2"/>
    <w:rsid w:val="00B6113E"/>
    <w:rsid w:val="00B61699"/>
    <w:rsid w:val="00B61CC3"/>
    <w:rsid w:val="00B6239A"/>
    <w:rsid w:val="00B62B85"/>
    <w:rsid w:val="00B62C90"/>
    <w:rsid w:val="00B62EBC"/>
    <w:rsid w:val="00B63126"/>
    <w:rsid w:val="00B63225"/>
    <w:rsid w:val="00B63549"/>
    <w:rsid w:val="00B65389"/>
    <w:rsid w:val="00B662C7"/>
    <w:rsid w:val="00B668B5"/>
    <w:rsid w:val="00B66C9D"/>
    <w:rsid w:val="00B67DD6"/>
    <w:rsid w:val="00B70100"/>
    <w:rsid w:val="00B70818"/>
    <w:rsid w:val="00B7083E"/>
    <w:rsid w:val="00B70E71"/>
    <w:rsid w:val="00B72DCF"/>
    <w:rsid w:val="00B73859"/>
    <w:rsid w:val="00B74675"/>
    <w:rsid w:val="00B74C86"/>
    <w:rsid w:val="00B74EB9"/>
    <w:rsid w:val="00B7560B"/>
    <w:rsid w:val="00B7564C"/>
    <w:rsid w:val="00B75669"/>
    <w:rsid w:val="00B75CB9"/>
    <w:rsid w:val="00B76525"/>
    <w:rsid w:val="00B80D6C"/>
    <w:rsid w:val="00B815AD"/>
    <w:rsid w:val="00B81A43"/>
    <w:rsid w:val="00B82678"/>
    <w:rsid w:val="00B82B98"/>
    <w:rsid w:val="00B83088"/>
    <w:rsid w:val="00B837B1"/>
    <w:rsid w:val="00B837D5"/>
    <w:rsid w:val="00B8459B"/>
    <w:rsid w:val="00B84A26"/>
    <w:rsid w:val="00B84BD6"/>
    <w:rsid w:val="00B84E87"/>
    <w:rsid w:val="00B85B4F"/>
    <w:rsid w:val="00B862ED"/>
    <w:rsid w:val="00B8667A"/>
    <w:rsid w:val="00B86A12"/>
    <w:rsid w:val="00B87025"/>
    <w:rsid w:val="00B87D61"/>
    <w:rsid w:val="00B90285"/>
    <w:rsid w:val="00B904C7"/>
    <w:rsid w:val="00B90EEF"/>
    <w:rsid w:val="00B912CA"/>
    <w:rsid w:val="00B91311"/>
    <w:rsid w:val="00B926DF"/>
    <w:rsid w:val="00B93E7B"/>
    <w:rsid w:val="00B9494A"/>
    <w:rsid w:val="00B94AA0"/>
    <w:rsid w:val="00B95A37"/>
    <w:rsid w:val="00B95F37"/>
    <w:rsid w:val="00B9641E"/>
    <w:rsid w:val="00B968C7"/>
    <w:rsid w:val="00B96B9D"/>
    <w:rsid w:val="00B96FA2"/>
    <w:rsid w:val="00BA0070"/>
    <w:rsid w:val="00BA01C5"/>
    <w:rsid w:val="00BA0213"/>
    <w:rsid w:val="00BA1093"/>
    <w:rsid w:val="00BA14B2"/>
    <w:rsid w:val="00BA14C2"/>
    <w:rsid w:val="00BA1680"/>
    <w:rsid w:val="00BA1FC1"/>
    <w:rsid w:val="00BA256E"/>
    <w:rsid w:val="00BA39E5"/>
    <w:rsid w:val="00BA3C1E"/>
    <w:rsid w:val="00BA406F"/>
    <w:rsid w:val="00BA46C7"/>
    <w:rsid w:val="00BA500A"/>
    <w:rsid w:val="00BA550A"/>
    <w:rsid w:val="00BA6109"/>
    <w:rsid w:val="00BA682B"/>
    <w:rsid w:val="00BA702F"/>
    <w:rsid w:val="00BA7128"/>
    <w:rsid w:val="00BA773C"/>
    <w:rsid w:val="00BA79AA"/>
    <w:rsid w:val="00BA7F63"/>
    <w:rsid w:val="00BA7F6A"/>
    <w:rsid w:val="00BB03A6"/>
    <w:rsid w:val="00BB041A"/>
    <w:rsid w:val="00BB0C5B"/>
    <w:rsid w:val="00BB2AE0"/>
    <w:rsid w:val="00BB3601"/>
    <w:rsid w:val="00BB3FA4"/>
    <w:rsid w:val="00BB524B"/>
    <w:rsid w:val="00BB5494"/>
    <w:rsid w:val="00BB6241"/>
    <w:rsid w:val="00BB63FD"/>
    <w:rsid w:val="00BB6E12"/>
    <w:rsid w:val="00BB6ED7"/>
    <w:rsid w:val="00BB7141"/>
    <w:rsid w:val="00BB71FA"/>
    <w:rsid w:val="00BB7606"/>
    <w:rsid w:val="00BB791A"/>
    <w:rsid w:val="00BB7F84"/>
    <w:rsid w:val="00BC013E"/>
    <w:rsid w:val="00BC02B6"/>
    <w:rsid w:val="00BC050F"/>
    <w:rsid w:val="00BC0928"/>
    <w:rsid w:val="00BC105E"/>
    <w:rsid w:val="00BC1210"/>
    <w:rsid w:val="00BC12AD"/>
    <w:rsid w:val="00BC1462"/>
    <w:rsid w:val="00BC14F8"/>
    <w:rsid w:val="00BC168E"/>
    <w:rsid w:val="00BC2589"/>
    <w:rsid w:val="00BC2B0E"/>
    <w:rsid w:val="00BC3503"/>
    <w:rsid w:val="00BC3772"/>
    <w:rsid w:val="00BC3A7E"/>
    <w:rsid w:val="00BC43B9"/>
    <w:rsid w:val="00BC4891"/>
    <w:rsid w:val="00BC4AE2"/>
    <w:rsid w:val="00BC5083"/>
    <w:rsid w:val="00BC546D"/>
    <w:rsid w:val="00BC54CF"/>
    <w:rsid w:val="00BC5658"/>
    <w:rsid w:val="00BC66FB"/>
    <w:rsid w:val="00BC68A9"/>
    <w:rsid w:val="00BD0321"/>
    <w:rsid w:val="00BD07D4"/>
    <w:rsid w:val="00BD10E7"/>
    <w:rsid w:val="00BD14B0"/>
    <w:rsid w:val="00BD150B"/>
    <w:rsid w:val="00BD15CA"/>
    <w:rsid w:val="00BD2931"/>
    <w:rsid w:val="00BD2FE7"/>
    <w:rsid w:val="00BD3BFF"/>
    <w:rsid w:val="00BD478A"/>
    <w:rsid w:val="00BD4A4B"/>
    <w:rsid w:val="00BD5588"/>
    <w:rsid w:val="00BD57A6"/>
    <w:rsid w:val="00BD627D"/>
    <w:rsid w:val="00BD6526"/>
    <w:rsid w:val="00BD6668"/>
    <w:rsid w:val="00BE0D8B"/>
    <w:rsid w:val="00BE1189"/>
    <w:rsid w:val="00BE118D"/>
    <w:rsid w:val="00BE1224"/>
    <w:rsid w:val="00BE1D2D"/>
    <w:rsid w:val="00BE1DD9"/>
    <w:rsid w:val="00BE25A3"/>
    <w:rsid w:val="00BE3B25"/>
    <w:rsid w:val="00BE4999"/>
    <w:rsid w:val="00BE4F64"/>
    <w:rsid w:val="00BE59CF"/>
    <w:rsid w:val="00BE6726"/>
    <w:rsid w:val="00BE6E1E"/>
    <w:rsid w:val="00BE724A"/>
    <w:rsid w:val="00BE733A"/>
    <w:rsid w:val="00BE7350"/>
    <w:rsid w:val="00BE761A"/>
    <w:rsid w:val="00BE7893"/>
    <w:rsid w:val="00BF04B4"/>
    <w:rsid w:val="00BF19FD"/>
    <w:rsid w:val="00BF1DC3"/>
    <w:rsid w:val="00BF1DEB"/>
    <w:rsid w:val="00BF26F0"/>
    <w:rsid w:val="00BF2B09"/>
    <w:rsid w:val="00BF2C6E"/>
    <w:rsid w:val="00BF2DE3"/>
    <w:rsid w:val="00BF3BFE"/>
    <w:rsid w:val="00BF43D7"/>
    <w:rsid w:val="00BF4662"/>
    <w:rsid w:val="00BF4991"/>
    <w:rsid w:val="00BF5AC8"/>
    <w:rsid w:val="00BF67BF"/>
    <w:rsid w:val="00BF68B7"/>
    <w:rsid w:val="00BF6D51"/>
    <w:rsid w:val="00BF6DCB"/>
    <w:rsid w:val="00BF6FB0"/>
    <w:rsid w:val="00BF7566"/>
    <w:rsid w:val="00BF756B"/>
    <w:rsid w:val="00BF78FE"/>
    <w:rsid w:val="00C009C7"/>
    <w:rsid w:val="00C0108A"/>
    <w:rsid w:val="00C018AE"/>
    <w:rsid w:val="00C028BD"/>
    <w:rsid w:val="00C02A33"/>
    <w:rsid w:val="00C02BE7"/>
    <w:rsid w:val="00C03555"/>
    <w:rsid w:val="00C035D8"/>
    <w:rsid w:val="00C036FF"/>
    <w:rsid w:val="00C03A14"/>
    <w:rsid w:val="00C03AF0"/>
    <w:rsid w:val="00C046C4"/>
    <w:rsid w:val="00C05242"/>
    <w:rsid w:val="00C05B82"/>
    <w:rsid w:val="00C05D05"/>
    <w:rsid w:val="00C05FC3"/>
    <w:rsid w:val="00C07232"/>
    <w:rsid w:val="00C07F6C"/>
    <w:rsid w:val="00C1016B"/>
    <w:rsid w:val="00C11D2E"/>
    <w:rsid w:val="00C1254F"/>
    <w:rsid w:val="00C12792"/>
    <w:rsid w:val="00C12AA3"/>
    <w:rsid w:val="00C13FF8"/>
    <w:rsid w:val="00C143CC"/>
    <w:rsid w:val="00C15048"/>
    <w:rsid w:val="00C15E04"/>
    <w:rsid w:val="00C16155"/>
    <w:rsid w:val="00C1636E"/>
    <w:rsid w:val="00C16A6F"/>
    <w:rsid w:val="00C174BD"/>
    <w:rsid w:val="00C17BBB"/>
    <w:rsid w:val="00C2060F"/>
    <w:rsid w:val="00C20736"/>
    <w:rsid w:val="00C20815"/>
    <w:rsid w:val="00C20D04"/>
    <w:rsid w:val="00C21248"/>
    <w:rsid w:val="00C2137F"/>
    <w:rsid w:val="00C22358"/>
    <w:rsid w:val="00C22770"/>
    <w:rsid w:val="00C23BA2"/>
    <w:rsid w:val="00C24CC2"/>
    <w:rsid w:val="00C261E9"/>
    <w:rsid w:val="00C2653D"/>
    <w:rsid w:val="00C269FF"/>
    <w:rsid w:val="00C27118"/>
    <w:rsid w:val="00C272F2"/>
    <w:rsid w:val="00C303A4"/>
    <w:rsid w:val="00C30BC6"/>
    <w:rsid w:val="00C30F98"/>
    <w:rsid w:val="00C31B98"/>
    <w:rsid w:val="00C32369"/>
    <w:rsid w:val="00C326E3"/>
    <w:rsid w:val="00C33242"/>
    <w:rsid w:val="00C336E4"/>
    <w:rsid w:val="00C338E2"/>
    <w:rsid w:val="00C340F8"/>
    <w:rsid w:val="00C34167"/>
    <w:rsid w:val="00C34490"/>
    <w:rsid w:val="00C348FB"/>
    <w:rsid w:val="00C34FF8"/>
    <w:rsid w:val="00C357A3"/>
    <w:rsid w:val="00C35B9F"/>
    <w:rsid w:val="00C35F98"/>
    <w:rsid w:val="00C36510"/>
    <w:rsid w:val="00C36A15"/>
    <w:rsid w:val="00C36EB2"/>
    <w:rsid w:val="00C37099"/>
    <w:rsid w:val="00C37881"/>
    <w:rsid w:val="00C378DA"/>
    <w:rsid w:val="00C401F6"/>
    <w:rsid w:val="00C404AC"/>
    <w:rsid w:val="00C41206"/>
    <w:rsid w:val="00C41378"/>
    <w:rsid w:val="00C41698"/>
    <w:rsid w:val="00C41F05"/>
    <w:rsid w:val="00C420C9"/>
    <w:rsid w:val="00C42736"/>
    <w:rsid w:val="00C42833"/>
    <w:rsid w:val="00C42BAB"/>
    <w:rsid w:val="00C42FB9"/>
    <w:rsid w:val="00C4403B"/>
    <w:rsid w:val="00C44D13"/>
    <w:rsid w:val="00C45A72"/>
    <w:rsid w:val="00C47FCB"/>
    <w:rsid w:val="00C5134E"/>
    <w:rsid w:val="00C514E2"/>
    <w:rsid w:val="00C51A54"/>
    <w:rsid w:val="00C54526"/>
    <w:rsid w:val="00C549B6"/>
    <w:rsid w:val="00C54AD0"/>
    <w:rsid w:val="00C574F5"/>
    <w:rsid w:val="00C57EE9"/>
    <w:rsid w:val="00C60319"/>
    <w:rsid w:val="00C605B2"/>
    <w:rsid w:val="00C608BF"/>
    <w:rsid w:val="00C60C68"/>
    <w:rsid w:val="00C60CA9"/>
    <w:rsid w:val="00C626CF"/>
    <w:rsid w:val="00C62A15"/>
    <w:rsid w:val="00C634A4"/>
    <w:rsid w:val="00C638D3"/>
    <w:rsid w:val="00C63DF6"/>
    <w:rsid w:val="00C6489C"/>
    <w:rsid w:val="00C65E53"/>
    <w:rsid w:val="00C66474"/>
    <w:rsid w:val="00C668F5"/>
    <w:rsid w:val="00C66CD7"/>
    <w:rsid w:val="00C66FBB"/>
    <w:rsid w:val="00C70392"/>
    <w:rsid w:val="00C71206"/>
    <w:rsid w:val="00C71FD4"/>
    <w:rsid w:val="00C727E6"/>
    <w:rsid w:val="00C72BA3"/>
    <w:rsid w:val="00C72C5E"/>
    <w:rsid w:val="00C73003"/>
    <w:rsid w:val="00C73964"/>
    <w:rsid w:val="00C74394"/>
    <w:rsid w:val="00C748EB"/>
    <w:rsid w:val="00C75277"/>
    <w:rsid w:val="00C7661A"/>
    <w:rsid w:val="00C77669"/>
    <w:rsid w:val="00C776CD"/>
    <w:rsid w:val="00C77AD9"/>
    <w:rsid w:val="00C77AE4"/>
    <w:rsid w:val="00C77C13"/>
    <w:rsid w:val="00C77C44"/>
    <w:rsid w:val="00C77C59"/>
    <w:rsid w:val="00C8041E"/>
    <w:rsid w:val="00C81713"/>
    <w:rsid w:val="00C822BD"/>
    <w:rsid w:val="00C828FE"/>
    <w:rsid w:val="00C82B50"/>
    <w:rsid w:val="00C82D2A"/>
    <w:rsid w:val="00C82F27"/>
    <w:rsid w:val="00C83B13"/>
    <w:rsid w:val="00C84225"/>
    <w:rsid w:val="00C84EDB"/>
    <w:rsid w:val="00C85CBA"/>
    <w:rsid w:val="00C85D56"/>
    <w:rsid w:val="00C85E39"/>
    <w:rsid w:val="00C86A96"/>
    <w:rsid w:val="00C871AA"/>
    <w:rsid w:val="00C90562"/>
    <w:rsid w:val="00C90DAF"/>
    <w:rsid w:val="00C90FDC"/>
    <w:rsid w:val="00C9131B"/>
    <w:rsid w:val="00C9146F"/>
    <w:rsid w:val="00C920E4"/>
    <w:rsid w:val="00C9313F"/>
    <w:rsid w:val="00C9316F"/>
    <w:rsid w:val="00C931D9"/>
    <w:rsid w:val="00C9389F"/>
    <w:rsid w:val="00C9528C"/>
    <w:rsid w:val="00C952ED"/>
    <w:rsid w:val="00C953F1"/>
    <w:rsid w:val="00C9547E"/>
    <w:rsid w:val="00C955DE"/>
    <w:rsid w:val="00C95648"/>
    <w:rsid w:val="00C96AFA"/>
    <w:rsid w:val="00C97021"/>
    <w:rsid w:val="00C97025"/>
    <w:rsid w:val="00C97F9B"/>
    <w:rsid w:val="00CA0250"/>
    <w:rsid w:val="00CA06AC"/>
    <w:rsid w:val="00CA132B"/>
    <w:rsid w:val="00CA1584"/>
    <w:rsid w:val="00CA16EC"/>
    <w:rsid w:val="00CA1F1D"/>
    <w:rsid w:val="00CA237D"/>
    <w:rsid w:val="00CA293D"/>
    <w:rsid w:val="00CA2C42"/>
    <w:rsid w:val="00CA2C7D"/>
    <w:rsid w:val="00CA2F15"/>
    <w:rsid w:val="00CA3026"/>
    <w:rsid w:val="00CA32C5"/>
    <w:rsid w:val="00CA4DE6"/>
    <w:rsid w:val="00CA4F7B"/>
    <w:rsid w:val="00CA5309"/>
    <w:rsid w:val="00CA5487"/>
    <w:rsid w:val="00CA5799"/>
    <w:rsid w:val="00CA5C9F"/>
    <w:rsid w:val="00CA68C4"/>
    <w:rsid w:val="00CA6C16"/>
    <w:rsid w:val="00CA6E6C"/>
    <w:rsid w:val="00CA7858"/>
    <w:rsid w:val="00CA7C1E"/>
    <w:rsid w:val="00CB15B0"/>
    <w:rsid w:val="00CB1944"/>
    <w:rsid w:val="00CB3CD5"/>
    <w:rsid w:val="00CB48F8"/>
    <w:rsid w:val="00CB4D20"/>
    <w:rsid w:val="00CB56A4"/>
    <w:rsid w:val="00CB6EF6"/>
    <w:rsid w:val="00CC0A60"/>
    <w:rsid w:val="00CC1007"/>
    <w:rsid w:val="00CC2970"/>
    <w:rsid w:val="00CC2A16"/>
    <w:rsid w:val="00CC2FCB"/>
    <w:rsid w:val="00CC3055"/>
    <w:rsid w:val="00CC38F2"/>
    <w:rsid w:val="00CC399D"/>
    <w:rsid w:val="00CC3F92"/>
    <w:rsid w:val="00CC4CAC"/>
    <w:rsid w:val="00CC4FD5"/>
    <w:rsid w:val="00CC5A5B"/>
    <w:rsid w:val="00CC5F13"/>
    <w:rsid w:val="00CC61D2"/>
    <w:rsid w:val="00CC6387"/>
    <w:rsid w:val="00CC6B81"/>
    <w:rsid w:val="00CC73F0"/>
    <w:rsid w:val="00CC76AB"/>
    <w:rsid w:val="00CC7806"/>
    <w:rsid w:val="00CC78FC"/>
    <w:rsid w:val="00CC798B"/>
    <w:rsid w:val="00CC7AE0"/>
    <w:rsid w:val="00CC7B45"/>
    <w:rsid w:val="00CD0A97"/>
    <w:rsid w:val="00CD19E9"/>
    <w:rsid w:val="00CD1BF2"/>
    <w:rsid w:val="00CD1C27"/>
    <w:rsid w:val="00CD1DC4"/>
    <w:rsid w:val="00CD213F"/>
    <w:rsid w:val="00CD2653"/>
    <w:rsid w:val="00CD2712"/>
    <w:rsid w:val="00CD29B5"/>
    <w:rsid w:val="00CD2AC1"/>
    <w:rsid w:val="00CD2E2E"/>
    <w:rsid w:val="00CD33BF"/>
    <w:rsid w:val="00CD49B8"/>
    <w:rsid w:val="00CD4BBA"/>
    <w:rsid w:val="00CD4D4A"/>
    <w:rsid w:val="00CD58B9"/>
    <w:rsid w:val="00CD65FC"/>
    <w:rsid w:val="00CD6666"/>
    <w:rsid w:val="00CD714A"/>
    <w:rsid w:val="00CD7189"/>
    <w:rsid w:val="00CD7766"/>
    <w:rsid w:val="00CD7A8D"/>
    <w:rsid w:val="00CD7FE5"/>
    <w:rsid w:val="00CE0708"/>
    <w:rsid w:val="00CE0AF4"/>
    <w:rsid w:val="00CE0F60"/>
    <w:rsid w:val="00CE25D5"/>
    <w:rsid w:val="00CE40B5"/>
    <w:rsid w:val="00CE4755"/>
    <w:rsid w:val="00CE4A5E"/>
    <w:rsid w:val="00CE4A85"/>
    <w:rsid w:val="00CE5D66"/>
    <w:rsid w:val="00CE600A"/>
    <w:rsid w:val="00CE602A"/>
    <w:rsid w:val="00CE61D2"/>
    <w:rsid w:val="00CE71E1"/>
    <w:rsid w:val="00CE79EB"/>
    <w:rsid w:val="00CF096D"/>
    <w:rsid w:val="00CF0A66"/>
    <w:rsid w:val="00CF0E86"/>
    <w:rsid w:val="00CF1F5C"/>
    <w:rsid w:val="00CF2068"/>
    <w:rsid w:val="00CF2863"/>
    <w:rsid w:val="00CF2897"/>
    <w:rsid w:val="00CF289C"/>
    <w:rsid w:val="00CF3905"/>
    <w:rsid w:val="00CF3C97"/>
    <w:rsid w:val="00CF3F85"/>
    <w:rsid w:val="00CF4357"/>
    <w:rsid w:val="00CF4E33"/>
    <w:rsid w:val="00CF4F6A"/>
    <w:rsid w:val="00CF505B"/>
    <w:rsid w:val="00CF5D3F"/>
    <w:rsid w:val="00CF7754"/>
    <w:rsid w:val="00CF7ED2"/>
    <w:rsid w:val="00D00244"/>
    <w:rsid w:val="00D01ABC"/>
    <w:rsid w:val="00D01CE4"/>
    <w:rsid w:val="00D025EA"/>
    <w:rsid w:val="00D02ABC"/>
    <w:rsid w:val="00D02FE7"/>
    <w:rsid w:val="00D033F4"/>
    <w:rsid w:val="00D05236"/>
    <w:rsid w:val="00D06E8E"/>
    <w:rsid w:val="00D07152"/>
    <w:rsid w:val="00D07228"/>
    <w:rsid w:val="00D07500"/>
    <w:rsid w:val="00D075E3"/>
    <w:rsid w:val="00D07F05"/>
    <w:rsid w:val="00D10722"/>
    <w:rsid w:val="00D10A05"/>
    <w:rsid w:val="00D1123E"/>
    <w:rsid w:val="00D12638"/>
    <w:rsid w:val="00D13481"/>
    <w:rsid w:val="00D13522"/>
    <w:rsid w:val="00D139AD"/>
    <w:rsid w:val="00D13D26"/>
    <w:rsid w:val="00D13E34"/>
    <w:rsid w:val="00D1459D"/>
    <w:rsid w:val="00D14BDF"/>
    <w:rsid w:val="00D15651"/>
    <w:rsid w:val="00D1581A"/>
    <w:rsid w:val="00D15C05"/>
    <w:rsid w:val="00D15CBE"/>
    <w:rsid w:val="00D15D97"/>
    <w:rsid w:val="00D1603E"/>
    <w:rsid w:val="00D16218"/>
    <w:rsid w:val="00D1624C"/>
    <w:rsid w:val="00D16833"/>
    <w:rsid w:val="00D16EA6"/>
    <w:rsid w:val="00D17090"/>
    <w:rsid w:val="00D172CC"/>
    <w:rsid w:val="00D1748B"/>
    <w:rsid w:val="00D17C6E"/>
    <w:rsid w:val="00D17E24"/>
    <w:rsid w:val="00D202E0"/>
    <w:rsid w:val="00D21698"/>
    <w:rsid w:val="00D2190D"/>
    <w:rsid w:val="00D21B9A"/>
    <w:rsid w:val="00D21DE6"/>
    <w:rsid w:val="00D21E70"/>
    <w:rsid w:val="00D227F2"/>
    <w:rsid w:val="00D22BAE"/>
    <w:rsid w:val="00D22F94"/>
    <w:rsid w:val="00D22FD4"/>
    <w:rsid w:val="00D25834"/>
    <w:rsid w:val="00D25E6B"/>
    <w:rsid w:val="00D26363"/>
    <w:rsid w:val="00D2643F"/>
    <w:rsid w:val="00D273EB"/>
    <w:rsid w:val="00D274EF"/>
    <w:rsid w:val="00D27ECD"/>
    <w:rsid w:val="00D30155"/>
    <w:rsid w:val="00D3041E"/>
    <w:rsid w:val="00D313FD"/>
    <w:rsid w:val="00D31A19"/>
    <w:rsid w:val="00D31C7F"/>
    <w:rsid w:val="00D3387E"/>
    <w:rsid w:val="00D34115"/>
    <w:rsid w:val="00D346B9"/>
    <w:rsid w:val="00D34B38"/>
    <w:rsid w:val="00D35CD5"/>
    <w:rsid w:val="00D35D3B"/>
    <w:rsid w:val="00D3690A"/>
    <w:rsid w:val="00D369E1"/>
    <w:rsid w:val="00D3778E"/>
    <w:rsid w:val="00D378B5"/>
    <w:rsid w:val="00D378FC"/>
    <w:rsid w:val="00D40622"/>
    <w:rsid w:val="00D40CB3"/>
    <w:rsid w:val="00D41063"/>
    <w:rsid w:val="00D41D25"/>
    <w:rsid w:val="00D42057"/>
    <w:rsid w:val="00D42260"/>
    <w:rsid w:val="00D422D8"/>
    <w:rsid w:val="00D4230D"/>
    <w:rsid w:val="00D425B9"/>
    <w:rsid w:val="00D43784"/>
    <w:rsid w:val="00D43918"/>
    <w:rsid w:val="00D44591"/>
    <w:rsid w:val="00D4482A"/>
    <w:rsid w:val="00D44E8B"/>
    <w:rsid w:val="00D44F4D"/>
    <w:rsid w:val="00D452C4"/>
    <w:rsid w:val="00D45ACE"/>
    <w:rsid w:val="00D46130"/>
    <w:rsid w:val="00D467C2"/>
    <w:rsid w:val="00D4730F"/>
    <w:rsid w:val="00D503B4"/>
    <w:rsid w:val="00D509C1"/>
    <w:rsid w:val="00D50B5A"/>
    <w:rsid w:val="00D5174B"/>
    <w:rsid w:val="00D51762"/>
    <w:rsid w:val="00D51D53"/>
    <w:rsid w:val="00D52470"/>
    <w:rsid w:val="00D53265"/>
    <w:rsid w:val="00D5395B"/>
    <w:rsid w:val="00D539CD"/>
    <w:rsid w:val="00D54555"/>
    <w:rsid w:val="00D54680"/>
    <w:rsid w:val="00D547C0"/>
    <w:rsid w:val="00D550FC"/>
    <w:rsid w:val="00D5544D"/>
    <w:rsid w:val="00D55C87"/>
    <w:rsid w:val="00D56A40"/>
    <w:rsid w:val="00D56CD6"/>
    <w:rsid w:val="00D57EA7"/>
    <w:rsid w:val="00D609AB"/>
    <w:rsid w:val="00D60C19"/>
    <w:rsid w:val="00D6119A"/>
    <w:rsid w:val="00D61842"/>
    <w:rsid w:val="00D623A8"/>
    <w:rsid w:val="00D62A7F"/>
    <w:rsid w:val="00D62E27"/>
    <w:rsid w:val="00D6368B"/>
    <w:rsid w:val="00D63AB1"/>
    <w:rsid w:val="00D63AE1"/>
    <w:rsid w:val="00D64674"/>
    <w:rsid w:val="00D64AD0"/>
    <w:rsid w:val="00D65DEA"/>
    <w:rsid w:val="00D6608A"/>
    <w:rsid w:val="00D6747E"/>
    <w:rsid w:val="00D679FE"/>
    <w:rsid w:val="00D70110"/>
    <w:rsid w:val="00D710CD"/>
    <w:rsid w:val="00D71BDC"/>
    <w:rsid w:val="00D72830"/>
    <w:rsid w:val="00D72DE6"/>
    <w:rsid w:val="00D7336C"/>
    <w:rsid w:val="00D73D3C"/>
    <w:rsid w:val="00D7416C"/>
    <w:rsid w:val="00D741C4"/>
    <w:rsid w:val="00D7427A"/>
    <w:rsid w:val="00D74588"/>
    <w:rsid w:val="00D74AA9"/>
    <w:rsid w:val="00D760A7"/>
    <w:rsid w:val="00D7650B"/>
    <w:rsid w:val="00D76DE2"/>
    <w:rsid w:val="00D80490"/>
    <w:rsid w:val="00D80A29"/>
    <w:rsid w:val="00D8182C"/>
    <w:rsid w:val="00D81AA9"/>
    <w:rsid w:val="00D81B05"/>
    <w:rsid w:val="00D81C7A"/>
    <w:rsid w:val="00D81E10"/>
    <w:rsid w:val="00D82DB9"/>
    <w:rsid w:val="00D84250"/>
    <w:rsid w:val="00D844C5"/>
    <w:rsid w:val="00D84589"/>
    <w:rsid w:val="00D85417"/>
    <w:rsid w:val="00D859D0"/>
    <w:rsid w:val="00D86C7E"/>
    <w:rsid w:val="00D87249"/>
    <w:rsid w:val="00D878AB"/>
    <w:rsid w:val="00D87AF2"/>
    <w:rsid w:val="00D91272"/>
    <w:rsid w:val="00D917AE"/>
    <w:rsid w:val="00D91BA5"/>
    <w:rsid w:val="00D92D37"/>
    <w:rsid w:val="00D92ED2"/>
    <w:rsid w:val="00D930D9"/>
    <w:rsid w:val="00D9320A"/>
    <w:rsid w:val="00D9398E"/>
    <w:rsid w:val="00D94651"/>
    <w:rsid w:val="00D94961"/>
    <w:rsid w:val="00D952B5"/>
    <w:rsid w:val="00D95420"/>
    <w:rsid w:val="00D9597F"/>
    <w:rsid w:val="00D95DE4"/>
    <w:rsid w:val="00D96863"/>
    <w:rsid w:val="00D96F0D"/>
    <w:rsid w:val="00D972A8"/>
    <w:rsid w:val="00DA0025"/>
    <w:rsid w:val="00DA066F"/>
    <w:rsid w:val="00DA0A0C"/>
    <w:rsid w:val="00DA0BAF"/>
    <w:rsid w:val="00DA0F8D"/>
    <w:rsid w:val="00DA13DF"/>
    <w:rsid w:val="00DA177F"/>
    <w:rsid w:val="00DA2467"/>
    <w:rsid w:val="00DA25A4"/>
    <w:rsid w:val="00DA25A8"/>
    <w:rsid w:val="00DA2C70"/>
    <w:rsid w:val="00DA2EC6"/>
    <w:rsid w:val="00DA325F"/>
    <w:rsid w:val="00DA381E"/>
    <w:rsid w:val="00DA3D8F"/>
    <w:rsid w:val="00DA4E1B"/>
    <w:rsid w:val="00DA4F57"/>
    <w:rsid w:val="00DA50F8"/>
    <w:rsid w:val="00DA524F"/>
    <w:rsid w:val="00DA567B"/>
    <w:rsid w:val="00DA577A"/>
    <w:rsid w:val="00DA6019"/>
    <w:rsid w:val="00DA7C3F"/>
    <w:rsid w:val="00DB00CE"/>
    <w:rsid w:val="00DB0196"/>
    <w:rsid w:val="00DB056A"/>
    <w:rsid w:val="00DB14AE"/>
    <w:rsid w:val="00DB1807"/>
    <w:rsid w:val="00DB288E"/>
    <w:rsid w:val="00DB3214"/>
    <w:rsid w:val="00DB3398"/>
    <w:rsid w:val="00DB35BE"/>
    <w:rsid w:val="00DB361C"/>
    <w:rsid w:val="00DB3A6B"/>
    <w:rsid w:val="00DB3AF8"/>
    <w:rsid w:val="00DB4574"/>
    <w:rsid w:val="00DB4B77"/>
    <w:rsid w:val="00DB4F58"/>
    <w:rsid w:val="00DB5132"/>
    <w:rsid w:val="00DB56B3"/>
    <w:rsid w:val="00DB5AAB"/>
    <w:rsid w:val="00DB6244"/>
    <w:rsid w:val="00DB6263"/>
    <w:rsid w:val="00DB70BE"/>
    <w:rsid w:val="00DC136F"/>
    <w:rsid w:val="00DC22A2"/>
    <w:rsid w:val="00DC2C7D"/>
    <w:rsid w:val="00DC3AB5"/>
    <w:rsid w:val="00DC5DC8"/>
    <w:rsid w:val="00DC655F"/>
    <w:rsid w:val="00DC69D7"/>
    <w:rsid w:val="00DC6BA8"/>
    <w:rsid w:val="00DC7894"/>
    <w:rsid w:val="00DC79C6"/>
    <w:rsid w:val="00DC7EB5"/>
    <w:rsid w:val="00DD0289"/>
    <w:rsid w:val="00DD0FEA"/>
    <w:rsid w:val="00DD2493"/>
    <w:rsid w:val="00DD25EB"/>
    <w:rsid w:val="00DD3699"/>
    <w:rsid w:val="00DD3704"/>
    <w:rsid w:val="00DD3A18"/>
    <w:rsid w:val="00DD4895"/>
    <w:rsid w:val="00DD4D8F"/>
    <w:rsid w:val="00DD53AE"/>
    <w:rsid w:val="00DD6E88"/>
    <w:rsid w:val="00DD724A"/>
    <w:rsid w:val="00DD72E7"/>
    <w:rsid w:val="00DD7B1C"/>
    <w:rsid w:val="00DE0487"/>
    <w:rsid w:val="00DE055C"/>
    <w:rsid w:val="00DE0723"/>
    <w:rsid w:val="00DE09FD"/>
    <w:rsid w:val="00DE0D49"/>
    <w:rsid w:val="00DE0DB7"/>
    <w:rsid w:val="00DE112E"/>
    <w:rsid w:val="00DE1BFA"/>
    <w:rsid w:val="00DE2486"/>
    <w:rsid w:val="00DE2709"/>
    <w:rsid w:val="00DE340D"/>
    <w:rsid w:val="00DE452E"/>
    <w:rsid w:val="00DE4B45"/>
    <w:rsid w:val="00DE4DE7"/>
    <w:rsid w:val="00DE7485"/>
    <w:rsid w:val="00DE7CD4"/>
    <w:rsid w:val="00DF0DB3"/>
    <w:rsid w:val="00DF11EA"/>
    <w:rsid w:val="00DF1558"/>
    <w:rsid w:val="00DF2296"/>
    <w:rsid w:val="00DF30ED"/>
    <w:rsid w:val="00DF31F2"/>
    <w:rsid w:val="00DF33DE"/>
    <w:rsid w:val="00DF41DE"/>
    <w:rsid w:val="00DF4E99"/>
    <w:rsid w:val="00DF510E"/>
    <w:rsid w:val="00DF554C"/>
    <w:rsid w:val="00DF555E"/>
    <w:rsid w:val="00DF60D9"/>
    <w:rsid w:val="00DF72B4"/>
    <w:rsid w:val="00DF72C9"/>
    <w:rsid w:val="00DF7949"/>
    <w:rsid w:val="00E00B69"/>
    <w:rsid w:val="00E01073"/>
    <w:rsid w:val="00E01A13"/>
    <w:rsid w:val="00E0247F"/>
    <w:rsid w:val="00E027C5"/>
    <w:rsid w:val="00E02AA3"/>
    <w:rsid w:val="00E02E08"/>
    <w:rsid w:val="00E02ECC"/>
    <w:rsid w:val="00E03831"/>
    <w:rsid w:val="00E045ED"/>
    <w:rsid w:val="00E045EF"/>
    <w:rsid w:val="00E0592A"/>
    <w:rsid w:val="00E06FF6"/>
    <w:rsid w:val="00E0733F"/>
    <w:rsid w:val="00E07A34"/>
    <w:rsid w:val="00E07B45"/>
    <w:rsid w:val="00E07E85"/>
    <w:rsid w:val="00E11649"/>
    <w:rsid w:val="00E11763"/>
    <w:rsid w:val="00E118F5"/>
    <w:rsid w:val="00E12003"/>
    <w:rsid w:val="00E12321"/>
    <w:rsid w:val="00E126BD"/>
    <w:rsid w:val="00E12AEE"/>
    <w:rsid w:val="00E12E2B"/>
    <w:rsid w:val="00E130A5"/>
    <w:rsid w:val="00E146C0"/>
    <w:rsid w:val="00E14B98"/>
    <w:rsid w:val="00E14EFF"/>
    <w:rsid w:val="00E14F26"/>
    <w:rsid w:val="00E155E4"/>
    <w:rsid w:val="00E156AD"/>
    <w:rsid w:val="00E157D1"/>
    <w:rsid w:val="00E161E8"/>
    <w:rsid w:val="00E164A5"/>
    <w:rsid w:val="00E16532"/>
    <w:rsid w:val="00E166D1"/>
    <w:rsid w:val="00E16755"/>
    <w:rsid w:val="00E2019B"/>
    <w:rsid w:val="00E20DB1"/>
    <w:rsid w:val="00E20FCA"/>
    <w:rsid w:val="00E21433"/>
    <w:rsid w:val="00E2287E"/>
    <w:rsid w:val="00E23EB1"/>
    <w:rsid w:val="00E246AD"/>
    <w:rsid w:val="00E250A8"/>
    <w:rsid w:val="00E25326"/>
    <w:rsid w:val="00E253EF"/>
    <w:rsid w:val="00E25B66"/>
    <w:rsid w:val="00E2633A"/>
    <w:rsid w:val="00E266A5"/>
    <w:rsid w:val="00E27057"/>
    <w:rsid w:val="00E27834"/>
    <w:rsid w:val="00E301A5"/>
    <w:rsid w:val="00E30C9E"/>
    <w:rsid w:val="00E30E57"/>
    <w:rsid w:val="00E3117F"/>
    <w:rsid w:val="00E313C2"/>
    <w:rsid w:val="00E31C0B"/>
    <w:rsid w:val="00E31FB9"/>
    <w:rsid w:val="00E31FD5"/>
    <w:rsid w:val="00E3277E"/>
    <w:rsid w:val="00E32E8C"/>
    <w:rsid w:val="00E34482"/>
    <w:rsid w:val="00E34A12"/>
    <w:rsid w:val="00E34EBF"/>
    <w:rsid w:val="00E356A7"/>
    <w:rsid w:val="00E36192"/>
    <w:rsid w:val="00E36453"/>
    <w:rsid w:val="00E376EC"/>
    <w:rsid w:val="00E37B31"/>
    <w:rsid w:val="00E37CF6"/>
    <w:rsid w:val="00E4163C"/>
    <w:rsid w:val="00E42039"/>
    <w:rsid w:val="00E424E1"/>
    <w:rsid w:val="00E429D3"/>
    <w:rsid w:val="00E42E41"/>
    <w:rsid w:val="00E43255"/>
    <w:rsid w:val="00E43594"/>
    <w:rsid w:val="00E43BD2"/>
    <w:rsid w:val="00E43F5B"/>
    <w:rsid w:val="00E441AA"/>
    <w:rsid w:val="00E449DF"/>
    <w:rsid w:val="00E44CF1"/>
    <w:rsid w:val="00E45306"/>
    <w:rsid w:val="00E45F5C"/>
    <w:rsid w:val="00E461F3"/>
    <w:rsid w:val="00E4662E"/>
    <w:rsid w:val="00E46659"/>
    <w:rsid w:val="00E46F98"/>
    <w:rsid w:val="00E476E5"/>
    <w:rsid w:val="00E47BED"/>
    <w:rsid w:val="00E47E1C"/>
    <w:rsid w:val="00E50E1C"/>
    <w:rsid w:val="00E51812"/>
    <w:rsid w:val="00E51BA5"/>
    <w:rsid w:val="00E5221F"/>
    <w:rsid w:val="00E526DE"/>
    <w:rsid w:val="00E5287E"/>
    <w:rsid w:val="00E52D30"/>
    <w:rsid w:val="00E5303E"/>
    <w:rsid w:val="00E5326C"/>
    <w:rsid w:val="00E539AB"/>
    <w:rsid w:val="00E5433A"/>
    <w:rsid w:val="00E54531"/>
    <w:rsid w:val="00E5477E"/>
    <w:rsid w:val="00E54FAF"/>
    <w:rsid w:val="00E55554"/>
    <w:rsid w:val="00E55672"/>
    <w:rsid w:val="00E5590E"/>
    <w:rsid w:val="00E565C1"/>
    <w:rsid w:val="00E56A7E"/>
    <w:rsid w:val="00E56E51"/>
    <w:rsid w:val="00E56F30"/>
    <w:rsid w:val="00E57E2F"/>
    <w:rsid w:val="00E60858"/>
    <w:rsid w:val="00E60B06"/>
    <w:rsid w:val="00E60D84"/>
    <w:rsid w:val="00E6108E"/>
    <w:rsid w:val="00E6139B"/>
    <w:rsid w:val="00E613A4"/>
    <w:rsid w:val="00E6245C"/>
    <w:rsid w:val="00E62B0F"/>
    <w:rsid w:val="00E62ECA"/>
    <w:rsid w:val="00E63724"/>
    <w:rsid w:val="00E6385E"/>
    <w:rsid w:val="00E63CCC"/>
    <w:rsid w:val="00E63DED"/>
    <w:rsid w:val="00E63F6D"/>
    <w:rsid w:val="00E643A6"/>
    <w:rsid w:val="00E64671"/>
    <w:rsid w:val="00E6467F"/>
    <w:rsid w:val="00E6496C"/>
    <w:rsid w:val="00E655BB"/>
    <w:rsid w:val="00E65BEB"/>
    <w:rsid w:val="00E65FB1"/>
    <w:rsid w:val="00E6609D"/>
    <w:rsid w:val="00E663CB"/>
    <w:rsid w:val="00E66CB7"/>
    <w:rsid w:val="00E679C2"/>
    <w:rsid w:val="00E7047F"/>
    <w:rsid w:val="00E715B3"/>
    <w:rsid w:val="00E71BF1"/>
    <w:rsid w:val="00E71CC1"/>
    <w:rsid w:val="00E726B0"/>
    <w:rsid w:val="00E72CC0"/>
    <w:rsid w:val="00E73BC4"/>
    <w:rsid w:val="00E73BE3"/>
    <w:rsid w:val="00E73E64"/>
    <w:rsid w:val="00E742B9"/>
    <w:rsid w:val="00E74650"/>
    <w:rsid w:val="00E74BFB"/>
    <w:rsid w:val="00E74CA4"/>
    <w:rsid w:val="00E74DC0"/>
    <w:rsid w:val="00E74E8B"/>
    <w:rsid w:val="00E750C6"/>
    <w:rsid w:val="00E77463"/>
    <w:rsid w:val="00E80427"/>
    <w:rsid w:val="00E80AB6"/>
    <w:rsid w:val="00E81BAC"/>
    <w:rsid w:val="00E828E4"/>
    <w:rsid w:val="00E83076"/>
    <w:rsid w:val="00E84908"/>
    <w:rsid w:val="00E85190"/>
    <w:rsid w:val="00E851D9"/>
    <w:rsid w:val="00E851F5"/>
    <w:rsid w:val="00E8524A"/>
    <w:rsid w:val="00E85824"/>
    <w:rsid w:val="00E85BD1"/>
    <w:rsid w:val="00E85DE0"/>
    <w:rsid w:val="00E8652C"/>
    <w:rsid w:val="00E86C9B"/>
    <w:rsid w:val="00E87F9F"/>
    <w:rsid w:val="00E9016B"/>
    <w:rsid w:val="00E90550"/>
    <w:rsid w:val="00E9088E"/>
    <w:rsid w:val="00E9157A"/>
    <w:rsid w:val="00E91877"/>
    <w:rsid w:val="00E91879"/>
    <w:rsid w:val="00E9213A"/>
    <w:rsid w:val="00E9281E"/>
    <w:rsid w:val="00E92B60"/>
    <w:rsid w:val="00E93919"/>
    <w:rsid w:val="00E94434"/>
    <w:rsid w:val="00E95A9C"/>
    <w:rsid w:val="00E95BF9"/>
    <w:rsid w:val="00E96B8F"/>
    <w:rsid w:val="00E96BE1"/>
    <w:rsid w:val="00E96D2C"/>
    <w:rsid w:val="00E9715E"/>
    <w:rsid w:val="00E97762"/>
    <w:rsid w:val="00E97F62"/>
    <w:rsid w:val="00EA0582"/>
    <w:rsid w:val="00EA06DE"/>
    <w:rsid w:val="00EA0815"/>
    <w:rsid w:val="00EA0A31"/>
    <w:rsid w:val="00EA0B88"/>
    <w:rsid w:val="00EA1C8F"/>
    <w:rsid w:val="00EA2020"/>
    <w:rsid w:val="00EA20B1"/>
    <w:rsid w:val="00EA260D"/>
    <w:rsid w:val="00EA2C7D"/>
    <w:rsid w:val="00EA2E96"/>
    <w:rsid w:val="00EA45E5"/>
    <w:rsid w:val="00EA46D0"/>
    <w:rsid w:val="00EA4949"/>
    <w:rsid w:val="00EA4E71"/>
    <w:rsid w:val="00EA4FD8"/>
    <w:rsid w:val="00EB0116"/>
    <w:rsid w:val="00EB196B"/>
    <w:rsid w:val="00EB2761"/>
    <w:rsid w:val="00EB2B49"/>
    <w:rsid w:val="00EB3772"/>
    <w:rsid w:val="00EB4B10"/>
    <w:rsid w:val="00EB4D5F"/>
    <w:rsid w:val="00EB4F51"/>
    <w:rsid w:val="00EB52D3"/>
    <w:rsid w:val="00EB582A"/>
    <w:rsid w:val="00EB6638"/>
    <w:rsid w:val="00EB692D"/>
    <w:rsid w:val="00EB6D15"/>
    <w:rsid w:val="00EB70BE"/>
    <w:rsid w:val="00EB72BA"/>
    <w:rsid w:val="00EB778C"/>
    <w:rsid w:val="00EB7D88"/>
    <w:rsid w:val="00EC0703"/>
    <w:rsid w:val="00EC0804"/>
    <w:rsid w:val="00EC0A37"/>
    <w:rsid w:val="00EC1802"/>
    <w:rsid w:val="00EC2930"/>
    <w:rsid w:val="00EC2BB5"/>
    <w:rsid w:val="00EC35F3"/>
    <w:rsid w:val="00EC4027"/>
    <w:rsid w:val="00EC4BD4"/>
    <w:rsid w:val="00EC4D94"/>
    <w:rsid w:val="00EC55FC"/>
    <w:rsid w:val="00EC59C7"/>
    <w:rsid w:val="00EC7E8A"/>
    <w:rsid w:val="00ED0A77"/>
    <w:rsid w:val="00ED1049"/>
    <w:rsid w:val="00ED125E"/>
    <w:rsid w:val="00ED13A3"/>
    <w:rsid w:val="00ED1DCD"/>
    <w:rsid w:val="00ED2886"/>
    <w:rsid w:val="00ED288E"/>
    <w:rsid w:val="00ED2CC5"/>
    <w:rsid w:val="00ED311F"/>
    <w:rsid w:val="00ED36CF"/>
    <w:rsid w:val="00ED3F70"/>
    <w:rsid w:val="00ED405F"/>
    <w:rsid w:val="00ED40A1"/>
    <w:rsid w:val="00ED4344"/>
    <w:rsid w:val="00ED4526"/>
    <w:rsid w:val="00ED45B2"/>
    <w:rsid w:val="00ED4A4A"/>
    <w:rsid w:val="00ED4FD7"/>
    <w:rsid w:val="00ED5B56"/>
    <w:rsid w:val="00ED675A"/>
    <w:rsid w:val="00ED6CEC"/>
    <w:rsid w:val="00ED6D9A"/>
    <w:rsid w:val="00ED6DEB"/>
    <w:rsid w:val="00ED7C05"/>
    <w:rsid w:val="00EE0008"/>
    <w:rsid w:val="00EE08C2"/>
    <w:rsid w:val="00EE0A7D"/>
    <w:rsid w:val="00EE1893"/>
    <w:rsid w:val="00EE19D8"/>
    <w:rsid w:val="00EE29E8"/>
    <w:rsid w:val="00EE37B2"/>
    <w:rsid w:val="00EE4006"/>
    <w:rsid w:val="00EE4321"/>
    <w:rsid w:val="00EE48B6"/>
    <w:rsid w:val="00EE4A38"/>
    <w:rsid w:val="00EE5974"/>
    <w:rsid w:val="00EE5B42"/>
    <w:rsid w:val="00EE5DED"/>
    <w:rsid w:val="00EE6448"/>
    <w:rsid w:val="00EE6C59"/>
    <w:rsid w:val="00EE735A"/>
    <w:rsid w:val="00EE78BF"/>
    <w:rsid w:val="00EF02D9"/>
    <w:rsid w:val="00EF0BAF"/>
    <w:rsid w:val="00EF142C"/>
    <w:rsid w:val="00EF2A64"/>
    <w:rsid w:val="00EF334F"/>
    <w:rsid w:val="00EF474A"/>
    <w:rsid w:val="00EF4C12"/>
    <w:rsid w:val="00EF504A"/>
    <w:rsid w:val="00EF642B"/>
    <w:rsid w:val="00EF7A4F"/>
    <w:rsid w:val="00EF7CD9"/>
    <w:rsid w:val="00F003B8"/>
    <w:rsid w:val="00F00A65"/>
    <w:rsid w:val="00F020CC"/>
    <w:rsid w:val="00F02AF4"/>
    <w:rsid w:val="00F02CB5"/>
    <w:rsid w:val="00F02E4C"/>
    <w:rsid w:val="00F02FB0"/>
    <w:rsid w:val="00F03145"/>
    <w:rsid w:val="00F033B3"/>
    <w:rsid w:val="00F03509"/>
    <w:rsid w:val="00F0580E"/>
    <w:rsid w:val="00F06120"/>
    <w:rsid w:val="00F068C8"/>
    <w:rsid w:val="00F10122"/>
    <w:rsid w:val="00F10131"/>
    <w:rsid w:val="00F10736"/>
    <w:rsid w:val="00F10B05"/>
    <w:rsid w:val="00F11416"/>
    <w:rsid w:val="00F127BA"/>
    <w:rsid w:val="00F128E7"/>
    <w:rsid w:val="00F13173"/>
    <w:rsid w:val="00F131A4"/>
    <w:rsid w:val="00F13B98"/>
    <w:rsid w:val="00F13C24"/>
    <w:rsid w:val="00F150E7"/>
    <w:rsid w:val="00F1582E"/>
    <w:rsid w:val="00F1588C"/>
    <w:rsid w:val="00F1631C"/>
    <w:rsid w:val="00F16BE8"/>
    <w:rsid w:val="00F17025"/>
    <w:rsid w:val="00F176CC"/>
    <w:rsid w:val="00F17788"/>
    <w:rsid w:val="00F22C57"/>
    <w:rsid w:val="00F24029"/>
    <w:rsid w:val="00F25623"/>
    <w:rsid w:val="00F2568B"/>
    <w:rsid w:val="00F257EC"/>
    <w:rsid w:val="00F25ACC"/>
    <w:rsid w:val="00F25FCA"/>
    <w:rsid w:val="00F26430"/>
    <w:rsid w:val="00F264A1"/>
    <w:rsid w:val="00F26790"/>
    <w:rsid w:val="00F26BC3"/>
    <w:rsid w:val="00F26E3F"/>
    <w:rsid w:val="00F275F8"/>
    <w:rsid w:val="00F305BE"/>
    <w:rsid w:val="00F316C7"/>
    <w:rsid w:val="00F31CC4"/>
    <w:rsid w:val="00F31EDF"/>
    <w:rsid w:val="00F32041"/>
    <w:rsid w:val="00F33075"/>
    <w:rsid w:val="00F3344C"/>
    <w:rsid w:val="00F33AB0"/>
    <w:rsid w:val="00F33D92"/>
    <w:rsid w:val="00F34B25"/>
    <w:rsid w:val="00F3502A"/>
    <w:rsid w:val="00F3590E"/>
    <w:rsid w:val="00F35BAB"/>
    <w:rsid w:val="00F36191"/>
    <w:rsid w:val="00F36E6F"/>
    <w:rsid w:val="00F37163"/>
    <w:rsid w:val="00F373D4"/>
    <w:rsid w:val="00F379D7"/>
    <w:rsid w:val="00F37FAA"/>
    <w:rsid w:val="00F40BF8"/>
    <w:rsid w:val="00F40E13"/>
    <w:rsid w:val="00F42953"/>
    <w:rsid w:val="00F42BA4"/>
    <w:rsid w:val="00F43CEF"/>
    <w:rsid w:val="00F44F4E"/>
    <w:rsid w:val="00F450F1"/>
    <w:rsid w:val="00F45856"/>
    <w:rsid w:val="00F45D97"/>
    <w:rsid w:val="00F462D1"/>
    <w:rsid w:val="00F46BD3"/>
    <w:rsid w:val="00F47009"/>
    <w:rsid w:val="00F477CB"/>
    <w:rsid w:val="00F5035B"/>
    <w:rsid w:val="00F504D9"/>
    <w:rsid w:val="00F51335"/>
    <w:rsid w:val="00F51AA2"/>
    <w:rsid w:val="00F52587"/>
    <w:rsid w:val="00F5269D"/>
    <w:rsid w:val="00F52D06"/>
    <w:rsid w:val="00F539FE"/>
    <w:rsid w:val="00F54472"/>
    <w:rsid w:val="00F546AF"/>
    <w:rsid w:val="00F54EC0"/>
    <w:rsid w:val="00F5503C"/>
    <w:rsid w:val="00F556B1"/>
    <w:rsid w:val="00F56EDC"/>
    <w:rsid w:val="00F56F3E"/>
    <w:rsid w:val="00F57E02"/>
    <w:rsid w:val="00F6008D"/>
    <w:rsid w:val="00F60154"/>
    <w:rsid w:val="00F60D3B"/>
    <w:rsid w:val="00F61196"/>
    <w:rsid w:val="00F617C4"/>
    <w:rsid w:val="00F61C06"/>
    <w:rsid w:val="00F61F29"/>
    <w:rsid w:val="00F620B2"/>
    <w:rsid w:val="00F62133"/>
    <w:rsid w:val="00F623AA"/>
    <w:rsid w:val="00F626CF"/>
    <w:rsid w:val="00F62D5E"/>
    <w:rsid w:val="00F635FA"/>
    <w:rsid w:val="00F63662"/>
    <w:rsid w:val="00F63D7F"/>
    <w:rsid w:val="00F64D93"/>
    <w:rsid w:val="00F65E61"/>
    <w:rsid w:val="00F6662D"/>
    <w:rsid w:val="00F66749"/>
    <w:rsid w:val="00F6693E"/>
    <w:rsid w:val="00F66F6C"/>
    <w:rsid w:val="00F67ADB"/>
    <w:rsid w:val="00F706B3"/>
    <w:rsid w:val="00F70971"/>
    <w:rsid w:val="00F70C63"/>
    <w:rsid w:val="00F7146D"/>
    <w:rsid w:val="00F71BCF"/>
    <w:rsid w:val="00F7265F"/>
    <w:rsid w:val="00F72764"/>
    <w:rsid w:val="00F72BBD"/>
    <w:rsid w:val="00F72C55"/>
    <w:rsid w:val="00F73A92"/>
    <w:rsid w:val="00F73D01"/>
    <w:rsid w:val="00F745D4"/>
    <w:rsid w:val="00F747E1"/>
    <w:rsid w:val="00F74A30"/>
    <w:rsid w:val="00F74B48"/>
    <w:rsid w:val="00F75125"/>
    <w:rsid w:val="00F7576A"/>
    <w:rsid w:val="00F761DF"/>
    <w:rsid w:val="00F7747F"/>
    <w:rsid w:val="00F776E8"/>
    <w:rsid w:val="00F800C2"/>
    <w:rsid w:val="00F80286"/>
    <w:rsid w:val="00F806C9"/>
    <w:rsid w:val="00F8070E"/>
    <w:rsid w:val="00F8095D"/>
    <w:rsid w:val="00F80B81"/>
    <w:rsid w:val="00F819EE"/>
    <w:rsid w:val="00F823BB"/>
    <w:rsid w:val="00F82B9F"/>
    <w:rsid w:val="00F83D27"/>
    <w:rsid w:val="00F8488D"/>
    <w:rsid w:val="00F84CE1"/>
    <w:rsid w:val="00F85493"/>
    <w:rsid w:val="00F85E2F"/>
    <w:rsid w:val="00F8608B"/>
    <w:rsid w:val="00F865BC"/>
    <w:rsid w:val="00F87895"/>
    <w:rsid w:val="00F87C32"/>
    <w:rsid w:val="00F90728"/>
    <w:rsid w:val="00F909C6"/>
    <w:rsid w:val="00F90AA6"/>
    <w:rsid w:val="00F919B6"/>
    <w:rsid w:val="00F9205F"/>
    <w:rsid w:val="00F937F7"/>
    <w:rsid w:val="00F93F9D"/>
    <w:rsid w:val="00F94610"/>
    <w:rsid w:val="00F94D6B"/>
    <w:rsid w:val="00F95399"/>
    <w:rsid w:val="00F95EEE"/>
    <w:rsid w:val="00F95F56"/>
    <w:rsid w:val="00F96617"/>
    <w:rsid w:val="00F967B2"/>
    <w:rsid w:val="00F96FC1"/>
    <w:rsid w:val="00F9726F"/>
    <w:rsid w:val="00F97523"/>
    <w:rsid w:val="00F9775C"/>
    <w:rsid w:val="00FA0ABA"/>
    <w:rsid w:val="00FA0B89"/>
    <w:rsid w:val="00FA16FA"/>
    <w:rsid w:val="00FA1929"/>
    <w:rsid w:val="00FA1A4A"/>
    <w:rsid w:val="00FA1BD5"/>
    <w:rsid w:val="00FA2081"/>
    <w:rsid w:val="00FA2EBC"/>
    <w:rsid w:val="00FA323D"/>
    <w:rsid w:val="00FA51E7"/>
    <w:rsid w:val="00FA538A"/>
    <w:rsid w:val="00FA5BC5"/>
    <w:rsid w:val="00FA6B5B"/>
    <w:rsid w:val="00FA6E8D"/>
    <w:rsid w:val="00FA70F2"/>
    <w:rsid w:val="00FB1782"/>
    <w:rsid w:val="00FB194F"/>
    <w:rsid w:val="00FB1D2E"/>
    <w:rsid w:val="00FB1DCC"/>
    <w:rsid w:val="00FB22A6"/>
    <w:rsid w:val="00FB2481"/>
    <w:rsid w:val="00FB2498"/>
    <w:rsid w:val="00FB2986"/>
    <w:rsid w:val="00FB2F9B"/>
    <w:rsid w:val="00FB406A"/>
    <w:rsid w:val="00FB48E0"/>
    <w:rsid w:val="00FB4E7F"/>
    <w:rsid w:val="00FB4F90"/>
    <w:rsid w:val="00FB50CF"/>
    <w:rsid w:val="00FB5C00"/>
    <w:rsid w:val="00FB6BC1"/>
    <w:rsid w:val="00FB6DF9"/>
    <w:rsid w:val="00FB71DD"/>
    <w:rsid w:val="00FB7D0E"/>
    <w:rsid w:val="00FC0362"/>
    <w:rsid w:val="00FC11B7"/>
    <w:rsid w:val="00FC18E1"/>
    <w:rsid w:val="00FC2A23"/>
    <w:rsid w:val="00FC32E4"/>
    <w:rsid w:val="00FC3639"/>
    <w:rsid w:val="00FC5351"/>
    <w:rsid w:val="00FC5D73"/>
    <w:rsid w:val="00FC61C5"/>
    <w:rsid w:val="00FC6F17"/>
    <w:rsid w:val="00FC712D"/>
    <w:rsid w:val="00FC7571"/>
    <w:rsid w:val="00FD0334"/>
    <w:rsid w:val="00FD16D3"/>
    <w:rsid w:val="00FD3098"/>
    <w:rsid w:val="00FD3423"/>
    <w:rsid w:val="00FD4D38"/>
    <w:rsid w:val="00FD5033"/>
    <w:rsid w:val="00FD5587"/>
    <w:rsid w:val="00FD55D8"/>
    <w:rsid w:val="00FD5947"/>
    <w:rsid w:val="00FD6145"/>
    <w:rsid w:val="00FD65CB"/>
    <w:rsid w:val="00FD7766"/>
    <w:rsid w:val="00FE0009"/>
    <w:rsid w:val="00FE0714"/>
    <w:rsid w:val="00FE1605"/>
    <w:rsid w:val="00FE1B4D"/>
    <w:rsid w:val="00FE1CC1"/>
    <w:rsid w:val="00FE2995"/>
    <w:rsid w:val="00FE2EC3"/>
    <w:rsid w:val="00FE4690"/>
    <w:rsid w:val="00FE4790"/>
    <w:rsid w:val="00FE5ED2"/>
    <w:rsid w:val="00FE7039"/>
    <w:rsid w:val="00FE7D69"/>
    <w:rsid w:val="00FE7E8B"/>
    <w:rsid w:val="00FF0512"/>
    <w:rsid w:val="00FF05DE"/>
    <w:rsid w:val="00FF1377"/>
    <w:rsid w:val="00FF1BF0"/>
    <w:rsid w:val="00FF2642"/>
    <w:rsid w:val="00FF2EDD"/>
    <w:rsid w:val="00FF31CD"/>
    <w:rsid w:val="00FF37C7"/>
    <w:rsid w:val="00FF3B5D"/>
    <w:rsid w:val="00FF3C02"/>
    <w:rsid w:val="00FF3EEF"/>
    <w:rsid w:val="00FF487A"/>
    <w:rsid w:val="00FF4EF9"/>
    <w:rsid w:val="00FF67C0"/>
    <w:rsid w:val="00FF7373"/>
    <w:rsid w:val="00FF7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2FD"/>
    <w:pPr>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812FD"/>
    <w:pPr>
      <w:keepNext/>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12FD"/>
    <w:rPr>
      <w:rFonts w:ascii="Times New Roman" w:eastAsia="Times New Roman" w:hAnsi="Times New Roman" w:cs="Times New Roman"/>
      <w:b/>
      <w:sz w:val="24"/>
      <w:szCs w:val="20"/>
      <w:lang w:eastAsia="ru-RU"/>
    </w:rPr>
  </w:style>
  <w:style w:type="paragraph" w:styleId="a3">
    <w:name w:val="header"/>
    <w:basedOn w:val="a"/>
    <w:link w:val="a4"/>
    <w:rsid w:val="009812FD"/>
    <w:pPr>
      <w:tabs>
        <w:tab w:val="center" w:pos="4536"/>
        <w:tab w:val="right" w:pos="9072"/>
      </w:tabs>
    </w:pPr>
    <w:rPr>
      <w:sz w:val="28"/>
    </w:rPr>
  </w:style>
  <w:style w:type="character" w:customStyle="1" w:styleId="a4">
    <w:name w:val="Верхний колонтитул Знак"/>
    <w:basedOn w:val="a0"/>
    <w:link w:val="a3"/>
    <w:rsid w:val="009812FD"/>
    <w:rPr>
      <w:rFonts w:ascii="Times New Roman" w:eastAsia="Times New Roman" w:hAnsi="Times New Roman" w:cs="Times New Roman"/>
      <w:sz w:val="28"/>
      <w:szCs w:val="20"/>
      <w:lang w:eastAsia="ru-RU"/>
    </w:rPr>
  </w:style>
  <w:style w:type="character" w:styleId="a5">
    <w:name w:val="page number"/>
    <w:basedOn w:val="a0"/>
    <w:rsid w:val="009812FD"/>
  </w:style>
  <w:style w:type="paragraph" w:customStyle="1" w:styleId="ConsPlusNormal">
    <w:name w:val="ConsPlusNormal"/>
    <w:rsid w:val="009812FD"/>
    <w:pPr>
      <w:autoSpaceDE w:val="0"/>
      <w:autoSpaceDN w:val="0"/>
      <w:adjustRightInd w:val="0"/>
      <w:spacing w:line="240" w:lineRule="auto"/>
    </w:pPr>
    <w:rPr>
      <w:rFonts w:ascii="Arial" w:eastAsia="Calibri" w:hAnsi="Arial" w:cs="Arial"/>
      <w:sz w:val="20"/>
      <w:szCs w:val="20"/>
    </w:rPr>
  </w:style>
  <w:style w:type="table" w:styleId="a6">
    <w:name w:val="Table Grid"/>
    <w:basedOn w:val="a1"/>
    <w:uiPriority w:val="59"/>
    <w:rsid w:val="008D765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2FD"/>
    <w:pPr>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812FD"/>
    <w:pPr>
      <w:keepNext/>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12FD"/>
    <w:rPr>
      <w:rFonts w:ascii="Times New Roman" w:eastAsia="Times New Roman" w:hAnsi="Times New Roman" w:cs="Times New Roman"/>
      <w:b/>
      <w:sz w:val="24"/>
      <w:szCs w:val="20"/>
      <w:lang w:eastAsia="ru-RU"/>
    </w:rPr>
  </w:style>
  <w:style w:type="paragraph" w:styleId="a3">
    <w:name w:val="header"/>
    <w:basedOn w:val="a"/>
    <w:link w:val="a4"/>
    <w:rsid w:val="009812FD"/>
    <w:pPr>
      <w:tabs>
        <w:tab w:val="center" w:pos="4536"/>
        <w:tab w:val="right" w:pos="9072"/>
      </w:tabs>
    </w:pPr>
    <w:rPr>
      <w:sz w:val="28"/>
    </w:rPr>
  </w:style>
  <w:style w:type="character" w:customStyle="1" w:styleId="a4">
    <w:name w:val="Верхний колонтитул Знак"/>
    <w:basedOn w:val="a0"/>
    <w:link w:val="a3"/>
    <w:rsid w:val="009812FD"/>
    <w:rPr>
      <w:rFonts w:ascii="Times New Roman" w:eastAsia="Times New Roman" w:hAnsi="Times New Roman" w:cs="Times New Roman"/>
      <w:sz w:val="28"/>
      <w:szCs w:val="20"/>
      <w:lang w:eastAsia="ru-RU"/>
    </w:rPr>
  </w:style>
  <w:style w:type="character" w:styleId="a5">
    <w:name w:val="page number"/>
    <w:basedOn w:val="a0"/>
    <w:rsid w:val="009812FD"/>
  </w:style>
  <w:style w:type="paragraph" w:customStyle="1" w:styleId="ConsPlusNormal">
    <w:name w:val="ConsPlusNormal"/>
    <w:rsid w:val="009812FD"/>
    <w:pPr>
      <w:autoSpaceDE w:val="0"/>
      <w:autoSpaceDN w:val="0"/>
      <w:adjustRightInd w:val="0"/>
      <w:spacing w:line="240" w:lineRule="auto"/>
    </w:pPr>
    <w:rPr>
      <w:rFonts w:ascii="Arial" w:eastAsia="Calibri" w:hAnsi="Arial" w:cs="Arial"/>
      <w:sz w:val="20"/>
      <w:szCs w:val="20"/>
    </w:rPr>
  </w:style>
  <w:style w:type="table" w:styleId="a6">
    <w:name w:val="Table Grid"/>
    <w:basedOn w:val="a1"/>
    <w:uiPriority w:val="59"/>
    <w:rsid w:val="008D765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2116</Words>
  <Characters>12063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111</Company>
  <LinksUpToDate>false</LinksUpToDate>
  <CharactersWithSpaces>14151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dc:creator>
  <cp:lastModifiedBy>Татьяна Васильевна Мацукова</cp:lastModifiedBy>
  <cp:revision>2</cp:revision>
  <cp:lastPrinted>2013-12-26T12:24:00Z</cp:lastPrinted>
  <dcterms:created xsi:type="dcterms:W3CDTF">2013-12-30T11:43:00Z</dcterms:created>
  <dcterms:modified xsi:type="dcterms:W3CDTF">2013-12-30T11:43:00Z</dcterms:modified>
</cp:coreProperties>
</file>